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media/image1.wmf" ContentType="image/x-wmf"/>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rPr>
          <w:sz w:val="22"/>
          <w:szCs w:val="22"/>
        </w:rPr>
      </w:pPr>
      <w:bookmarkStart w:id="0" w:name="_GoBack"/>
      <w:bookmarkEnd w:id="0"/>
      <w:r>
        <w:rPr/>
        <w:drawing>
          <wp:inline distT="0" distB="0" distL="0" distR="0">
            <wp:extent cx="2657475" cy="523875"/>
            <wp:effectExtent l="0" t="0" r="0" b="0"/>
            <wp:docPr id="1" name="Slika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lika 1" descr=""/>
                    <pic:cNvPicPr>
                      <a:picLocks noChangeAspect="1" noChangeArrowheads="1"/>
                    </pic:cNvPicPr>
                  </pic:nvPicPr>
                  <pic:blipFill>
                    <a:blip r:embed="rId2"/>
                    <a:stretch>
                      <a:fillRect/>
                    </a:stretch>
                  </pic:blipFill>
                  <pic:spPr bwMode="auto">
                    <a:xfrm>
                      <a:off x="0" y="0"/>
                      <a:ext cx="2657475" cy="523875"/>
                    </a:xfrm>
                    <a:prstGeom prst="rect">
                      <a:avLst/>
                    </a:prstGeom>
                  </pic:spPr>
                </pic:pic>
              </a:graphicData>
            </a:graphic>
          </wp:inline>
        </w:drawing>
      </w:r>
    </w:p>
    <w:p>
      <w:pPr>
        <w:pStyle w:val="Normal"/>
        <w:rPr>
          <w:sz w:val="22"/>
          <w:szCs w:val="22"/>
        </w:rPr>
      </w:pPr>
      <w:r>
        <w:rPr>
          <w:sz w:val="22"/>
          <w:szCs w:val="22"/>
        </w:rPr>
      </w:r>
    </w:p>
    <w:p>
      <w:pPr>
        <w:pStyle w:val="Normal"/>
        <w:jc w:val="both"/>
        <w:rPr>
          <w:sz w:val="22"/>
          <w:szCs w:val="22"/>
        </w:rPr>
      </w:pPr>
      <w:r>
        <w:rPr>
          <w:sz w:val="22"/>
          <w:szCs w:val="22"/>
        </w:rPr>
        <w:t>Klasa:</w:t>
        <w:tab/>
        <w:t>007-04/23-01/1</w:t>
      </w:r>
    </w:p>
    <w:p>
      <w:pPr>
        <w:pStyle w:val="Normal"/>
        <w:jc w:val="both"/>
        <w:rPr>
          <w:sz w:val="22"/>
          <w:szCs w:val="22"/>
        </w:rPr>
      </w:pPr>
      <w:r>
        <w:rPr>
          <w:sz w:val="22"/>
          <w:szCs w:val="22"/>
        </w:rPr>
        <w:t>Urbroj:</w:t>
        <w:tab/>
        <w:t>2170-1-66-02/1-23-4</w:t>
      </w:r>
    </w:p>
    <w:p>
      <w:pPr>
        <w:pStyle w:val="Normal"/>
        <w:rPr>
          <w:sz w:val="22"/>
          <w:szCs w:val="22"/>
        </w:rPr>
      </w:pPr>
      <w:r>
        <w:rPr>
          <w:sz w:val="22"/>
          <w:szCs w:val="22"/>
        </w:rPr>
        <w:t xml:space="preserve">Rijeka, </w:t>
        <w:tab/>
        <w:t>17. travnja 2023. godine</w:t>
      </w:r>
    </w:p>
    <w:p>
      <w:pPr>
        <w:pStyle w:val="Normal"/>
        <w:rPr>
          <w:sz w:val="22"/>
          <w:szCs w:val="22"/>
        </w:rPr>
      </w:pPr>
      <w:r>
        <w:rPr>
          <w:sz w:val="22"/>
          <w:szCs w:val="22"/>
        </w:rPr>
      </w:r>
    </w:p>
    <w:p>
      <w:pPr>
        <w:pStyle w:val="Normal"/>
        <w:rPr>
          <w:sz w:val="22"/>
          <w:szCs w:val="22"/>
        </w:rPr>
      </w:pPr>
      <w:r>
        <w:rPr>
          <w:sz w:val="22"/>
          <w:szCs w:val="22"/>
        </w:rPr>
      </w:r>
    </w:p>
    <w:p>
      <w:pPr>
        <w:pStyle w:val="Normal"/>
        <w:rPr>
          <w:sz w:val="22"/>
          <w:szCs w:val="22"/>
        </w:rPr>
      </w:pPr>
      <w:r>
        <w:rPr>
          <w:sz w:val="22"/>
          <w:szCs w:val="22"/>
        </w:rPr>
      </w:r>
    </w:p>
    <w:p>
      <w:pPr>
        <w:pStyle w:val="Normal"/>
        <w:jc w:val="center"/>
        <w:rPr>
          <w:b/>
          <w:b/>
          <w:sz w:val="22"/>
          <w:szCs w:val="22"/>
        </w:rPr>
      </w:pPr>
      <w:r>
        <w:rPr>
          <w:b/>
          <w:sz w:val="22"/>
          <w:szCs w:val="22"/>
        </w:rPr>
        <w:t>ZAPISNIK</w:t>
      </w:r>
    </w:p>
    <w:p>
      <w:pPr>
        <w:pStyle w:val="Normal"/>
        <w:jc w:val="center"/>
        <w:rPr>
          <w:b/>
          <w:b/>
          <w:sz w:val="22"/>
          <w:szCs w:val="22"/>
        </w:rPr>
      </w:pPr>
      <w:r>
        <w:rPr>
          <w:b/>
          <w:sz w:val="22"/>
          <w:szCs w:val="22"/>
        </w:rPr>
      </w:r>
    </w:p>
    <w:p>
      <w:pPr>
        <w:pStyle w:val="Normal"/>
        <w:jc w:val="both"/>
        <w:rPr>
          <w:b/>
          <w:b/>
          <w:sz w:val="22"/>
          <w:szCs w:val="22"/>
          <w:u w:val="single"/>
        </w:rPr>
      </w:pPr>
      <w:r>
        <w:rPr>
          <w:b/>
          <w:bCs/>
          <w:sz w:val="22"/>
          <w:szCs w:val="22"/>
        </w:rPr>
        <w:t>15.</w:t>
      </w:r>
      <w:r>
        <w:rPr>
          <w:sz w:val="22"/>
          <w:szCs w:val="22"/>
        </w:rPr>
        <w:t xml:space="preserve"> sjednice </w:t>
      </w:r>
      <w:r>
        <w:rPr>
          <w:b/>
          <w:sz w:val="22"/>
          <w:szCs w:val="22"/>
        </w:rPr>
        <w:t xml:space="preserve">Školskog odbora </w:t>
      </w:r>
      <w:r>
        <w:rPr>
          <w:bCs/>
          <w:sz w:val="22"/>
          <w:szCs w:val="22"/>
        </w:rPr>
        <w:t>OŠ Podmurvice</w:t>
      </w:r>
      <w:r>
        <w:rPr>
          <w:sz w:val="22"/>
          <w:szCs w:val="22"/>
        </w:rPr>
        <w:t xml:space="preserve"> dana,  </w:t>
      </w:r>
      <w:r>
        <w:rPr>
          <w:b/>
          <w:sz w:val="22"/>
          <w:szCs w:val="22"/>
          <w:u w:val="single"/>
        </w:rPr>
        <w:t>14. travnja 2023. godine</w:t>
      </w:r>
      <w:r>
        <w:rPr>
          <w:sz w:val="22"/>
          <w:szCs w:val="22"/>
        </w:rPr>
        <w:t xml:space="preserve"> održane u putem elektroničke pošte (email).</w:t>
      </w:r>
    </w:p>
    <w:p>
      <w:pPr>
        <w:pStyle w:val="Normal"/>
        <w:spacing w:lineRule="auto" w:line="276"/>
        <w:jc w:val="both"/>
        <w:rPr>
          <w:sz w:val="22"/>
          <w:szCs w:val="22"/>
        </w:rPr>
      </w:pPr>
      <w:r>
        <w:rPr>
          <w:sz w:val="22"/>
          <w:szCs w:val="22"/>
        </w:rPr>
      </w:r>
    </w:p>
    <w:p>
      <w:pPr>
        <w:pStyle w:val="Normal"/>
        <w:jc w:val="both"/>
        <w:rPr>
          <w:sz w:val="22"/>
          <w:szCs w:val="22"/>
        </w:rPr>
      </w:pPr>
      <w:r>
        <w:rPr>
          <w:sz w:val="22"/>
          <w:szCs w:val="22"/>
        </w:rPr>
        <w:t>Prisutni:</w:t>
        <w:tab/>
        <w:t>Ana Marinić, (iz reda Učitelja i stručnih suradnika - 1 od 2),</w:t>
      </w:r>
    </w:p>
    <w:p>
      <w:pPr>
        <w:pStyle w:val="Normal"/>
        <w:ind w:left="708" w:firstLine="708"/>
        <w:jc w:val="both"/>
        <w:rPr>
          <w:sz w:val="22"/>
          <w:szCs w:val="22"/>
        </w:rPr>
      </w:pPr>
      <w:r>
        <w:rPr>
          <w:sz w:val="22"/>
          <w:szCs w:val="22"/>
        </w:rPr>
        <w:t>Roberta Bonassin, (iz reda Učitelja i stručnih suradnika - 2 od 2),</w:t>
      </w:r>
    </w:p>
    <w:p>
      <w:pPr>
        <w:pStyle w:val="Normal"/>
        <w:ind w:left="708" w:firstLine="708"/>
        <w:jc w:val="both"/>
        <w:rPr>
          <w:sz w:val="22"/>
          <w:szCs w:val="22"/>
        </w:rPr>
      </w:pPr>
      <w:r>
        <w:rPr>
          <w:sz w:val="22"/>
          <w:szCs w:val="22"/>
        </w:rPr>
        <w:t>Marin Bogičević, (iz skupa Radničkog vijeća - 1 od 1),</w:t>
      </w:r>
    </w:p>
    <w:p>
      <w:pPr>
        <w:pStyle w:val="Normal"/>
        <w:ind w:left="708" w:firstLine="708"/>
        <w:jc w:val="both"/>
        <w:rPr>
          <w:sz w:val="22"/>
          <w:szCs w:val="22"/>
        </w:rPr>
      </w:pPr>
      <w:r>
        <w:rPr>
          <w:sz w:val="22"/>
          <w:szCs w:val="22"/>
        </w:rPr>
        <w:t>Nadia Mustapić, (iz reda Vijeća roditelja - 1 od 1),</w:t>
      </w:r>
    </w:p>
    <w:p>
      <w:pPr>
        <w:pStyle w:val="Normal"/>
        <w:ind w:left="708" w:firstLine="708"/>
        <w:jc w:val="both"/>
        <w:rPr>
          <w:sz w:val="22"/>
          <w:szCs w:val="22"/>
        </w:rPr>
      </w:pPr>
      <w:r>
        <w:rPr>
          <w:sz w:val="22"/>
          <w:szCs w:val="22"/>
        </w:rPr>
        <w:t>Ivo Simper, (predstavnik Osnivača - 1 od 3 ),</w:t>
      </w:r>
    </w:p>
    <w:p>
      <w:pPr>
        <w:pStyle w:val="Normal"/>
        <w:ind w:left="708" w:firstLine="708"/>
        <w:jc w:val="both"/>
        <w:rPr>
          <w:sz w:val="22"/>
          <w:szCs w:val="22"/>
        </w:rPr>
      </w:pPr>
      <w:r>
        <w:rPr>
          <w:sz w:val="22"/>
          <w:szCs w:val="22"/>
        </w:rPr>
        <w:t>Duško Milovanović, (predstavnik osnivača - 2 od 3),</w:t>
      </w:r>
    </w:p>
    <w:p>
      <w:pPr>
        <w:pStyle w:val="Normal"/>
        <w:ind w:left="708" w:firstLine="708"/>
        <w:jc w:val="both"/>
        <w:rPr>
          <w:sz w:val="22"/>
          <w:szCs w:val="22"/>
        </w:rPr>
      </w:pPr>
      <w:r>
        <w:rPr>
          <w:sz w:val="22"/>
          <w:szCs w:val="22"/>
        </w:rPr>
        <w:t>Eugen Podobnik, (predstavnik Osnivača - 3 od 3 ),</w:t>
      </w:r>
    </w:p>
    <w:p>
      <w:pPr>
        <w:pStyle w:val="Normal"/>
        <w:ind w:left="708" w:firstLine="708"/>
        <w:jc w:val="both"/>
        <w:rPr>
          <w:sz w:val="22"/>
          <w:szCs w:val="22"/>
        </w:rPr>
      </w:pPr>
      <w:r>
        <w:rPr>
          <w:sz w:val="22"/>
          <w:szCs w:val="22"/>
        </w:rPr>
      </w:r>
    </w:p>
    <w:p>
      <w:pPr>
        <w:pStyle w:val="Normal"/>
        <w:jc w:val="both"/>
        <w:rPr>
          <w:sz w:val="22"/>
          <w:szCs w:val="22"/>
        </w:rPr>
      </w:pPr>
      <w:r>
        <w:rPr>
          <w:sz w:val="22"/>
          <w:szCs w:val="22"/>
        </w:rPr>
      </w:r>
    </w:p>
    <w:p>
      <w:pPr>
        <w:pStyle w:val="Normal"/>
        <w:jc w:val="both"/>
        <w:rPr>
          <w:sz w:val="22"/>
          <w:szCs w:val="22"/>
        </w:rPr>
      </w:pPr>
      <w:r>
        <w:rPr>
          <w:sz w:val="22"/>
          <w:szCs w:val="22"/>
        </w:rPr>
        <w:t>Odsutni:</w:t>
        <w:tab/>
        <w:t>/</w:t>
      </w:r>
    </w:p>
    <w:p>
      <w:pPr>
        <w:pStyle w:val="Normal"/>
        <w:jc w:val="both"/>
        <w:rPr>
          <w:sz w:val="22"/>
          <w:szCs w:val="22"/>
        </w:rPr>
      </w:pPr>
      <w:r>
        <w:rPr>
          <w:sz w:val="22"/>
          <w:szCs w:val="22"/>
        </w:rPr>
      </w:r>
    </w:p>
    <w:p>
      <w:pPr>
        <w:pStyle w:val="Normal"/>
        <w:jc w:val="both"/>
        <w:rPr>
          <w:sz w:val="22"/>
          <w:szCs w:val="22"/>
        </w:rPr>
      </w:pPr>
      <w:r>
        <w:rPr>
          <w:sz w:val="22"/>
          <w:szCs w:val="22"/>
        </w:rPr>
      </w:r>
    </w:p>
    <w:p>
      <w:pPr>
        <w:pStyle w:val="Normal"/>
        <w:jc w:val="both"/>
        <w:rPr>
          <w:sz w:val="22"/>
          <w:szCs w:val="22"/>
        </w:rPr>
      </w:pPr>
      <w:r>
        <w:rPr>
          <w:sz w:val="22"/>
          <w:szCs w:val="22"/>
        </w:rPr>
        <w:tab/>
        <w:tab/>
        <w:t>Dokumentacija za raspravu dostavlja se u elektronskom obliku svim članovima Školskog odbora, a pored članova i ravnateljici Loredani Jakominić.</w:t>
      </w:r>
    </w:p>
    <w:p>
      <w:pPr>
        <w:pStyle w:val="Normal"/>
        <w:jc w:val="both"/>
        <w:rPr>
          <w:sz w:val="22"/>
          <w:szCs w:val="22"/>
        </w:rPr>
      </w:pPr>
      <w:r>
        <w:rPr>
          <w:sz w:val="22"/>
          <w:szCs w:val="22"/>
        </w:rPr>
        <w:tab/>
        <w:tab/>
      </w:r>
    </w:p>
    <w:p>
      <w:pPr>
        <w:pStyle w:val="Normal"/>
        <w:ind w:left="708" w:firstLine="708"/>
        <w:jc w:val="both"/>
        <w:rPr>
          <w:sz w:val="22"/>
          <w:szCs w:val="22"/>
        </w:rPr>
      </w:pPr>
      <w:r>
        <w:rPr>
          <w:sz w:val="22"/>
          <w:szCs w:val="22"/>
        </w:rPr>
        <w:t>Zapisničar:  Marin Bogičević, tajnik škole</w:t>
      </w:r>
    </w:p>
    <w:p>
      <w:pPr>
        <w:pStyle w:val="Normal"/>
        <w:jc w:val="both"/>
        <w:rPr>
          <w:sz w:val="22"/>
          <w:szCs w:val="22"/>
        </w:rPr>
      </w:pPr>
      <w:r>
        <w:rPr>
          <w:sz w:val="22"/>
          <w:szCs w:val="22"/>
        </w:rPr>
      </w:r>
    </w:p>
    <w:p>
      <w:pPr>
        <w:pStyle w:val="Normal"/>
        <w:jc w:val="both"/>
        <w:rPr>
          <w:sz w:val="22"/>
          <w:szCs w:val="22"/>
        </w:rPr>
      </w:pPr>
      <w:r>
        <w:rPr>
          <w:sz w:val="22"/>
          <w:szCs w:val="22"/>
        </w:rPr>
        <w:tab/>
        <w:tab/>
        <w:t>Sjednica se održava očitovanjem članova na dokumentaciju temeljem povratnog emaila, te se utvrđuje prisustvo svih članova (7/7), sa sljedećim</w:t>
      </w:r>
    </w:p>
    <w:p>
      <w:pPr>
        <w:pStyle w:val="Normal"/>
        <w:tabs>
          <w:tab w:val="clear" w:pos="708"/>
          <w:tab w:val="left" w:pos="720" w:leader="none"/>
          <w:tab w:val="left" w:pos="3969" w:leader="dot"/>
        </w:tabs>
        <w:rPr>
          <w:sz w:val="22"/>
          <w:szCs w:val="22"/>
        </w:rPr>
      </w:pPr>
      <w:r>
        <w:rPr>
          <w:sz w:val="22"/>
          <w:szCs w:val="22"/>
        </w:rPr>
      </w:r>
    </w:p>
    <w:p>
      <w:pPr>
        <w:pStyle w:val="Normal"/>
        <w:tabs>
          <w:tab w:val="clear" w:pos="708"/>
          <w:tab w:val="left" w:pos="720" w:leader="none"/>
          <w:tab w:val="left" w:pos="3969" w:leader="dot"/>
        </w:tabs>
        <w:rPr>
          <w:sz w:val="22"/>
          <w:szCs w:val="22"/>
        </w:rPr>
      </w:pPr>
      <w:r>
        <w:rPr>
          <w:sz w:val="22"/>
          <w:szCs w:val="22"/>
        </w:rPr>
      </w:r>
    </w:p>
    <w:p>
      <w:pPr>
        <w:pStyle w:val="Normal"/>
        <w:tabs>
          <w:tab w:val="clear" w:pos="708"/>
          <w:tab w:val="left" w:pos="720" w:leader="none"/>
          <w:tab w:val="left" w:pos="3969" w:leader="dot"/>
        </w:tabs>
        <w:jc w:val="center"/>
        <w:rPr>
          <w:sz w:val="22"/>
          <w:szCs w:val="22"/>
        </w:rPr>
      </w:pPr>
      <w:r>
        <w:rPr>
          <w:sz w:val="22"/>
          <w:szCs w:val="22"/>
        </w:rPr>
        <w:t>DNEVNI RED</w:t>
      </w:r>
    </w:p>
    <w:p>
      <w:pPr>
        <w:pStyle w:val="Normal"/>
        <w:tabs>
          <w:tab w:val="clear" w:pos="708"/>
          <w:tab w:val="left" w:pos="720" w:leader="none"/>
          <w:tab w:val="left" w:pos="3969" w:leader="dot"/>
        </w:tabs>
        <w:jc w:val="center"/>
        <w:rPr>
          <w:sz w:val="22"/>
          <w:szCs w:val="22"/>
        </w:rPr>
      </w:pPr>
      <w:r>
        <w:rPr>
          <w:sz w:val="22"/>
          <w:szCs w:val="22"/>
        </w:rPr>
      </w:r>
    </w:p>
    <w:p>
      <w:pPr>
        <w:pStyle w:val="Normal"/>
        <w:tabs>
          <w:tab w:val="clear" w:pos="708"/>
          <w:tab w:val="left" w:pos="357" w:leader="none"/>
          <w:tab w:val="left" w:pos="720" w:leader="none"/>
          <w:tab w:val="left" w:pos="3969" w:leader="dot"/>
        </w:tabs>
        <w:rPr>
          <w:sz w:val="22"/>
          <w:szCs w:val="22"/>
        </w:rPr>
      </w:pPr>
      <w:r>
        <w:rPr>
          <w:sz w:val="22"/>
          <w:szCs w:val="22"/>
        </w:rPr>
        <w:t>1.  Razmatranje i usvajanje Zapisnika s prethodne sjednice</w:t>
      </w:r>
    </w:p>
    <w:p>
      <w:pPr>
        <w:pStyle w:val="Normal"/>
        <w:tabs>
          <w:tab w:val="clear" w:pos="708"/>
          <w:tab w:val="left" w:pos="357" w:leader="none"/>
          <w:tab w:val="left" w:pos="720" w:leader="none"/>
          <w:tab w:val="left" w:pos="3969" w:leader="dot"/>
        </w:tabs>
        <w:rPr>
          <w:sz w:val="22"/>
          <w:szCs w:val="22"/>
        </w:rPr>
      </w:pPr>
      <w:r>
        <w:rPr>
          <w:sz w:val="22"/>
          <w:szCs w:val="22"/>
        </w:rPr>
        <w:t xml:space="preserve">     </w:t>
      </w:r>
      <w:r>
        <w:rPr>
          <w:sz w:val="22"/>
          <w:szCs w:val="22"/>
        </w:rPr>
        <w:t>(izvjestiteljica: Ana Marinić, predsjednica Školskog Odbora)</w:t>
      </w:r>
    </w:p>
    <w:p>
      <w:pPr>
        <w:pStyle w:val="Normal"/>
        <w:rPr>
          <w:sz w:val="22"/>
          <w:szCs w:val="22"/>
        </w:rPr>
      </w:pPr>
      <w:r>
        <w:rPr>
          <w:sz w:val="22"/>
          <w:szCs w:val="22"/>
        </w:rPr>
      </w:r>
    </w:p>
    <w:p>
      <w:pPr>
        <w:pStyle w:val="Normal"/>
        <w:tabs>
          <w:tab w:val="clear" w:pos="708"/>
          <w:tab w:val="left" w:pos="357" w:leader="none"/>
          <w:tab w:val="left" w:pos="720" w:leader="none"/>
          <w:tab w:val="left" w:pos="3969" w:leader="dot"/>
        </w:tabs>
        <w:rPr>
          <w:sz w:val="22"/>
          <w:szCs w:val="22"/>
        </w:rPr>
      </w:pPr>
      <w:r>
        <w:rPr>
          <w:sz w:val="22"/>
          <w:szCs w:val="22"/>
        </w:rPr>
        <w:t>2.</w:t>
        <w:tab/>
        <w:t>Donošenje odluke u zapošljavanju prema objavljenom Natječaju za:</w:t>
      </w:r>
    </w:p>
    <w:p>
      <w:pPr>
        <w:pStyle w:val="Normal"/>
        <w:tabs>
          <w:tab w:val="clear" w:pos="708"/>
          <w:tab w:val="left" w:pos="357" w:leader="none"/>
          <w:tab w:val="left" w:pos="720" w:leader="none"/>
          <w:tab w:val="left" w:pos="3969" w:leader="dot"/>
        </w:tabs>
        <w:rPr>
          <w:sz w:val="22"/>
          <w:szCs w:val="22"/>
        </w:rPr>
      </w:pPr>
      <w:r>
        <w:rPr>
          <w:sz w:val="22"/>
          <w:szCs w:val="22"/>
        </w:rPr>
        <w:tab/>
        <w:tab/>
      </w:r>
    </w:p>
    <w:p>
      <w:pPr>
        <w:pStyle w:val="Normal"/>
        <w:numPr>
          <w:ilvl w:val="0"/>
          <w:numId w:val="1"/>
        </w:numPr>
        <w:jc w:val="both"/>
        <w:rPr>
          <w:sz w:val="22"/>
          <w:szCs w:val="22"/>
        </w:rPr>
      </w:pPr>
      <w:r>
        <w:rPr>
          <w:b/>
          <w:sz w:val="22"/>
          <w:szCs w:val="22"/>
        </w:rPr>
        <w:t xml:space="preserve">UČITELJ / UČITELJICA PRIRODE, </w:t>
      </w:r>
    </w:p>
    <w:p>
      <w:pPr>
        <w:pStyle w:val="Normal"/>
        <w:numPr>
          <w:ilvl w:val="0"/>
          <w:numId w:val="3"/>
        </w:numPr>
        <w:jc w:val="both"/>
        <w:rPr>
          <w:sz w:val="22"/>
          <w:szCs w:val="22"/>
        </w:rPr>
      </w:pPr>
      <w:r>
        <w:rPr>
          <w:sz w:val="22"/>
          <w:szCs w:val="22"/>
        </w:rPr>
        <w:t>1 izvršitelj / izvršiteljica na neodređeno, nepuno radno vrijeme (10 sati tjedno – 2 sata dnevnog radnog vremena)</w:t>
      </w:r>
    </w:p>
    <w:p>
      <w:pPr>
        <w:pStyle w:val="Normal"/>
        <w:jc w:val="both"/>
        <w:rPr>
          <w:sz w:val="22"/>
          <w:szCs w:val="22"/>
        </w:rPr>
      </w:pPr>
      <w:r>
        <w:rPr>
          <w:sz w:val="22"/>
          <w:szCs w:val="22"/>
        </w:rPr>
      </w:r>
    </w:p>
    <w:p>
      <w:pPr>
        <w:pStyle w:val="Normal"/>
        <w:numPr>
          <w:ilvl w:val="0"/>
          <w:numId w:val="1"/>
        </w:numPr>
        <w:jc w:val="both"/>
        <w:rPr>
          <w:sz w:val="22"/>
          <w:szCs w:val="22"/>
        </w:rPr>
      </w:pPr>
      <w:r>
        <w:rPr>
          <w:b/>
          <w:sz w:val="22"/>
          <w:szCs w:val="22"/>
        </w:rPr>
        <w:t>UČITELJ / UČITELJICA KEMIJE,</w:t>
      </w:r>
    </w:p>
    <w:p>
      <w:pPr>
        <w:pStyle w:val="Normal"/>
        <w:numPr>
          <w:ilvl w:val="0"/>
          <w:numId w:val="3"/>
        </w:numPr>
        <w:jc w:val="both"/>
        <w:rPr>
          <w:sz w:val="22"/>
          <w:szCs w:val="22"/>
        </w:rPr>
      </w:pPr>
      <w:r>
        <w:rPr>
          <w:sz w:val="22"/>
          <w:szCs w:val="22"/>
        </w:rPr>
        <w:t>1 izvršitelj / izvršiteljica na neodređeno, nepuno radno vrijeme (30 sati tjedno – 6 sati dnevnog radnog vremena)</w:t>
      </w:r>
    </w:p>
    <w:p>
      <w:pPr>
        <w:pStyle w:val="Normal"/>
        <w:jc w:val="both"/>
        <w:rPr>
          <w:sz w:val="22"/>
          <w:szCs w:val="22"/>
        </w:rPr>
      </w:pPr>
      <w:r>
        <w:rPr>
          <w:sz w:val="22"/>
          <w:szCs w:val="22"/>
        </w:rPr>
      </w:r>
    </w:p>
    <w:p>
      <w:pPr>
        <w:pStyle w:val="Normal"/>
        <w:numPr>
          <w:ilvl w:val="0"/>
          <w:numId w:val="1"/>
        </w:numPr>
        <w:jc w:val="both"/>
        <w:rPr>
          <w:sz w:val="22"/>
          <w:szCs w:val="22"/>
        </w:rPr>
      </w:pPr>
      <w:r>
        <w:rPr>
          <w:b/>
          <w:sz w:val="22"/>
          <w:szCs w:val="22"/>
        </w:rPr>
        <w:t>KUHAR / KUHARICA</w:t>
      </w:r>
    </w:p>
    <w:p>
      <w:pPr>
        <w:pStyle w:val="Normal"/>
        <w:numPr>
          <w:ilvl w:val="0"/>
          <w:numId w:val="3"/>
        </w:numPr>
        <w:jc w:val="both"/>
        <w:rPr>
          <w:sz w:val="22"/>
          <w:szCs w:val="22"/>
        </w:rPr>
      </w:pPr>
      <w:r>
        <w:rPr>
          <w:sz w:val="22"/>
          <w:szCs w:val="22"/>
        </w:rPr>
        <w:t>1 izvršitelj / izvršiteljica na neodređeno, puno radno vrijeme</w:t>
      </w:r>
    </w:p>
    <w:p>
      <w:pPr>
        <w:pStyle w:val="Normal"/>
        <w:ind w:left="1080" w:hanging="0"/>
        <w:jc w:val="both"/>
        <w:rPr>
          <w:sz w:val="22"/>
          <w:szCs w:val="22"/>
        </w:rPr>
      </w:pPr>
      <w:r>
        <w:rPr>
          <w:sz w:val="22"/>
          <w:szCs w:val="22"/>
        </w:rPr>
      </w:r>
    </w:p>
    <w:p>
      <w:pPr>
        <w:pStyle w:val="Normal"/>
        <w:tabs>
          <w:tab w:val="clear" w:pos="708"/>
          <w:tab w:val="left" w:pos="357" w:leader="none"/>
          <w:tab w:val="left" w:pos="720" w:leader="none"/>
          <w:tab w:val="left" w:pos="3969" w:leader="dot"/>
        </w:tabs>
        <w:rPr>
          <w:sz w:val="22"/>
          <w:szCs w:val="22"/>
        </w:rPr>
      </w:pPr>
      <w:r>
        <w:rPr>
          <w:sz w:val="22"/>
          <w:szCs w:val="22"/>
        </w:rPr>
        <w:tab/>
        <w:t>( izvjestiteljica: Loredana Jakominić, ravnateljica )</w:t>
      </w:r>
    </w:p>
    <w:p>
      <w:pPr>
        <w:pStyle w:val="Normal"/>
        <w:tabs>
          <w:tab w:val="clear" w:pos="708"/>
          <w:tab w:val="left" w:pos="357" w:leader="none"/>
          <w:tab w:val="left" w:pos="720" w:leader="none"/>
          <w:tab w:val="left" w:pos="3969" w:leader="dot"/>
        </w:tabs>
        <w:rPr>
          <w:sz w:val="22"/>
          <w:szCs w:val="22"/>
        </w:rPr>
      </w:pPr>
      <w:r>
        <w:rPr>
          <w:sz w:val="22"/>
          <w:szCs w:val="22"/>
        </w:rPr>
      </w:r>
    </w:p>
    <w:p>
      <w:pPr>
        <w:pStyle w:val="Normal"/>
        <w:tabs>
          <w:tab w:val="clear" w:pos="708"/>
          <w:tab w:val="left" w:pos="357" w:leader="none"/>
          <w:tab w:val="left" w:pos="720" w:leader="none"/>
          <w:tab w:val="left" w:pos="3969" w:leader="dot"/>
        </w:tabs>
        <w:rPr>
          <w:sz w:val="22"/>
          <w:szCs w:val="22"/>
        </w:rPr>
      </w:pPr>
      <w:r>
        <w:rPr>
          <w:sz w:val="22"/>
          <w:szCs w:val="22"/>
        </w:rPr>
        <w:t xml:space="preserve">3. </w:t>
        <w:tab/>
        <w:t>Donošenje odluke o ostvarenju financijskog plana za 2022. godinu</w:t>
      </w:r>
    </w:p>
    <w:p>
      <w:pPr>
        <w:pStyle w:val="Normal"/>
        <w:tabs>
          <w:tab w:val="clear" w:pos="708"/>
          <w:tab w:val="left" w:pos="357" w:leader="none"/>
          <w:tab w:val="left" w:pos="720" w:leader="none"/>
          <w:tab w:val="left" w:pos="3969" w:leader="dot"/>
        </w:tabs>
        <w:rPr>
          <w:sz w:val="22"/>
          <w:szCs w:val="22"/>
        </w:rPr>
      </w:pPr>
      <w:r>
        <w:rPr>
          <w:sz w:val="22"/>
          <w:szCs w:val="22"/>
        </w:rPr>
        <w:t xml:space="preserve">      </w:t>
      </w:r>
      <w:r>
        <w:rPr>
          <w:sz w:val="22"/>
          <w:szCs w:val="22"/>
        </w:rPr>
        <w:t>( izvjestiteljica: Ljiljana Barić, računovođa )</w:t>
        <w:tab/>
        <w:tab/>
        <w:tab/>
      </w:r>
    </w:p>
    <w:p>
      <w:pPr>
        <w:pStyle w:val="Normal"/>
        <w:spacing w:lineRule="auto" w:line="259"/>
        <w:rPr>
          <w:sz w:val="22"/>
          <w:szCs w:val="22"/>
        </w:rPr>
      </w:pPr>
      <w:r>
        <w:rPr>
          <w:sz w:val="22"/>
          <w:szCs w:val="22"/>
        </w:rPr>
      </w:r>
    </w:p>
    <w:p>
      <w:pPr>
        <w:pStyle w:val="Normal"/>
        <w:spacing w:lineRule="auto" w:line="259"/>
        <w:rPr>
          <w:sz w:val="22"/>
          <w:szCs w:val="22"/>
        </w:rPr>
      </w:pPr>
      <w:r>
        <w:rPr>
          <w:sz w:val="22"/>
          <w:szCs w:val="22"/>
        </w:rPr>
        <w:t>4. Razno</w:t>
      </w:r>
      <w:bookmarkStart w:id="1" w:name="_Hlk132356997"/>
      <w:bookmarkEnd w:id="1"/>
    </w:p>
    <w:p>
      <w:pPr>
        <w:pStyle w:val="Normal"/>
        <w:rPr>
          <w:sz w:val="22"/>
          <w:szCs w:val="22"/>
        </w:rPr>
      </w:pPr>
      <w:r>
        <w:rPr>
          <w:sz w:val="22"/>
          <w:szCs w:val="22"/>
        </w:rPr>
      </w:r>
    </w:p>
    <w:p>
      <w:pPr>
        <w:pStyle w:val="Uvlakatijelateksta"/>
        <w:rPr>
          <w:rFonts w:ascii="Times New Roman" w:hAnsi="Times New Roman"/>
          <w:sz w:val="22"/>
          <w:szCs w:val="22"/>
        </w:rPr>
      </w:pPr>
      <w:r>
        <w:rPr>
          <w:rFonts w:ascii="Times New Roman" w:hAnsi="Times New Roman"/>
          <w:sz w:val="22"/>
          <w:szCs w:val="22"/>
        </w:rPr>
        <w:t xml:space="preserve">Na prijedlog dnevnog reda koji je dostavljen, uz poziv za sjednicu, nije podnesen prigovor. </w:t>
      </w:r>
    </w:p>
    <w:p>
      <w:pPr>
        <w:pStyle w:val="Normal"/>
        <w:jc w:val="both"/>
        <w:rPr>
          <w:sz w:val="22"/>
          <w:szCs w:val="22"/>
        </w:rPr>
      </w:pPr>
      <w:r>
        <w:rPr>
          <w:sz w:val="22"/>
          <w:szCs w:val="22"/>
        </w:rPr>
      </w:r>
    </w:p>
    <w:p>
      <w:pPr>
        <w:pStyle w:val="Normal"/>
        <w:jc w:val="both"/>
        <w:rPr>
          <w:sz w:val="22"/>
          <w:szCs w:val="22"/>
        </w:rPr>
      </w:pPr>
      <w:r>
        <w:rPr>
          <w:sz w:val="22"/>
          <w:szCs w:val="22"/>
        </w:rPr>
        <w:t>Dnevni red usvaja se jednoglasno od strane prisutnih članova Školskog odbora.</w:t>
      </w:r>
    </w:p>
    <w:p>
      <w:pPr>
        <w:pStyle w:val="Normal"/>
        <w:jc w:val="both"/>
        <w:rPr>
          <w:sz w:val="22"/>
          <w:szCs w:val="22"/>
        </w:rPr>
      </w:pPr>
      <w:r>
        <w:rPr>
          <w:sz w:val="22"/>
          <w:szCs w:val="22"/>
        </w:rPr>
      </w:r>
    </w:p>
    <w:p>
      <w:pPr>
        <w:pStyle w:val="Normal"/>
        <w:jc w:val="both"/>
        <w:rPr>
          <w:sz w:val="22"/>
          <w:szCs w:val="22"/>
        </w:rPr>
      </w:pPr>
      <w:r>
        <w:rPr>
          <w:sz w:val="22"/>
          <w:szCs w:val="22"/>
        </w:rPr>
        <w:t>Izvjestitelji izvješćuju elektronskim putem dostavom obrazloženja točaka dnevnog reda i dostavom dokumentacije.</w:t>
      </w:r>
    </w:p>
    <w:p>
      <w:pPr>
        <w:pStyle w:val="Normal"/>
        <w:jc w:val="center"/>
        <w:rPr>
          <w:sz w:val="22"/>
          <w:szCs w:val="22"/>
        </w:rPr>
      </w:pPr>
      <w:r>
        <w:rPr>
          <w:sz w:val="22"/>
          <w:szCs w:val="22"/>
        </w:rPr>
      </w:r>
    </w:p>
    <w:p>
      <w:pPr>
        <w:pStyle w:val="Normal"/>
        <w:spacing w:lineRule="auto" w:line="259" w:before="0" w:after="160"/>
        <w:jc w:val="both"/>
        <w:rPr>
          <w:sz w:val="22"/>
          <w:szCs w:val="22"/>
          <w:u w:val="single"/>
        </w:rPr>
      </w:pPr>
      <w:r>
        <w:rPr>
          <w:sz w:val="22"/>
          <w:szCs w:val="22"/>
          <w:u w:val="single"/>
        </w:rPr>
      </w:r>
    </w:p>
    <w:p>
      <w:pPr>
        <w:pStyle w:val="Normal"/>
        <w:spacing w:lineRule="auto" w:line="259" w:before="0" w:after="160"/>
        <w:jc w:val="both"/>
        <w:rPr>
          <w:sz w:val="22"/>
          <w:szCs w:val="22"/>
          <w:u w:val="single"/>
        </w:rPr>
      </w:pPr>
      <w:r>
        <w:rPr>
          <w:sz w:val="22"/>
          <w:szCs w:val="22"/>
          <w:u w:val="single"/>
        </w:rPr>
        <w:t>AD. 1.</w:t>
      </w:r>
      <w:r>
        <w:rPr>
          <w:sz w:val="22"/>
          <w:szCs w:val="22"/>
        </w:rPr>
        <w:tab/>
        <w:tab/>
        <w:t>Temeljem članaka 60. i 86. Statuta Osnovne škole Podmurvice Predsjednica Školskog odbora utvrđuje da je članovima Školskog odbora uz poziv za ovu sjednicu dostavljena preslika zapisnika sa sjednice Školskog odbora održane 30. siječnja 2023. godine uz dokumentaciju relevantnu za raspravu po točkama današnjeg dnevnog reda. Svi prisutni članovi Školskog odbora potvrđuju da su istu primili putem elektroničke pošte. Predsjednica Školskog odbora pozvala je prisutne članove Školskog odbora da se izjasne o prihvaćanju Zapisnika s prethodne sjednice Školskog odbora.</w:t>
      </w:r>
    </w:p>
    <w:p>
      <w:pPr>
        <w:pStyle w:val="Normal"/>
        <w:jc w:val="both"/>
        <w:rPr>
          <w:sz w:val="22"/>
          <w:szCs w:val="22"/>
        </w:rPr>
      </w:pPr>
      <w:r>
        <w:rPr>
          <w:sz w:val="22"/>
          <w:szCs w:val="22"/>
        </w:rPr>
        <w:t>Rezultat glasovanja:</w:t>
      </w:r>
    </w:p>
    <w:p>
      <w:pPr>
        <w:pStyle w:val="Normal"/>
        <w:jc w:val="both"/>
        <w:rPr>
          <w:sz w:val="22"/>
          <w:szCs w:val="22"/>
        </w:rPr>
      </w:pPr>
      <w:r>
        <w:rPr>
          <w:sz w:val="22"/>
          <w:szCs w:val="22"/>
        </w:rPr>
      </w:r>
    </w:p>
    <w:p>
      <w:pPr>
        <w:pStyle w:val="Normal"/>
        <w:jc w:val="both"/>
        <w:rPr>
          <w:sz w:val="22"/>
          <w:szCs w:val="22"/>
        </w:rPr>
      </w:pPr>
      <w:r>
        <w:rPr>
          <w:sz w:val="22"/>
          <w:szCs w:val="22"/>
        </w:rPr>
        <w:tab/>
        <w:t>Budući da nitko nije imao primjedbi Školski odbor jednoglasno (7/7) donosi sljedeći:</w:t>
      </w:r>
    </w:p>
    <w:p>
      <w:pPr>
        <w:pStyle w:val="Normal"/>
        <w:rPr>
          <w:b/>
          <w:b/>
          <w:sz w:val="22"/>
          <w:szCs w:val="22"/>
        </w:rPr>
      </w:pPr>
      <w:r>
        <w:rPr>
          <w:b/>
          <w:sz w:val="22"/>
          <w:szCs w:val="22"/>
        </w:rPr>
      </w:r>
    </w:p>
    <w:p>
      <w:pPr>
        <w:pStyle w:val="Normal"/>
        <w:jc w:val="center"/>
        <w:rPr>
          <w:b/>
          <w:b/>
          <w:sz w:val="22"/>
          <w:szCs w:val="22"/>
        </w:rPr>
      </w:pPr>
      <w:r>
        <w:rPr>
          <w:b/>
          <w:sz w:val="22"/>
          <w:szCs w:val="22"/>
        </w:rPr>
        <w:t>Z a k l j u č a k</w:t>
      </w:r>
    </w:p>
    <w:p>
      <w:pPr>
        <w:pStyle w:val="Normal"/>
        <w:jc w:val="center"/>
        <w:rPr>
          <w:b/>
          <w:b/>
          <w:sz w:val="22"/>
          <w:szCs w:val="22"/>
        </w:rPr>
      </w:pPr>
      <w:r>
        <w:rPr>
          <w:b/>
          <w:sz w:val="22"/>
          <w:szCs w:val="22"/>
        </w:rPr>
      </w:r>
    </w:p>
    <w:p>
      <w:pPr>
        <w:pStyle w:val="Normal"/>
        <w:jc w:val="center"/>
        <w:rPr>
          <w:sz w:val="22"/>
          <w:szCs w:val="22"/>
        </w:rPr>
      </w:pPr>
      <w:r>
        <w:rPr>
          <w:sz w:val="22"/>
          <w:szCs w:val="22"/>
        </w:rPr>
        <w:t>"Usvaja se Zapisnik s prethodne sjednice Školskog odbora održane 30. siječnja 2023. godine."</w:t>
      </w:r>
    </w:p>
    <w:p>
      <w:pPr>
        <w:pStyle w:val="Normal"/>
        <w:rPr>
          <w:sz w:val="22"/>
          <w:szCs w:val="22"/>
        </w:rPr>
      </w:pPr>
      <w:r>
        <w:rPr>
          <w:sz w:val="22"/>
          <w:szCs w:val="22"/>
        </w:rPr>
      </w:r>
    </w:p>
    <w:p>
      <w:pPr>
        <w:pStyle w:val="Normal"/>
        <w:ind w:firstLine="708"/>
        <w:jc w:val="both"/>
        <w:rPr>
          <w:sz w:val="22"/>
          <w:szCs w:val="22"/>
        </w:rPr>
      </w:pPr>
      <w:r>
        <w:rPr>
          <w:sz w:val="22"/>
          <w:szCs w:val="22"/>
        </w:rPr>
      </w:r>
    </w:p>
    <w:p>
      <w:pPr>
        <w:pStyle w:val="Normal"/>
        <w:jc w:val="both"/>
        <w:rPr>
          <w:sz w:val="22"/>
          <w:szCs w:val="22"/>
        </w:rPr>
      </w:pPr>
      <w:r>
        <w:rPr>
          <w:sz w:val="22"/>
          <w:szCs w:val="22"/>
        </w:rPr>
      </w:r>
    </w:p>
    <w:p>
      <w:pPr>
        <w:pStyle w:val="Normal"/>
        <w:jc w:val="both"/>
        <w:rPr>
          <w:sz w:val="22"/>
          <w:szCs w:val="22"/>
        </w:rPr>
      </w:pPr>
      <w:r>
        <w:rPr>
          <w:sz w:val="22"/>
          <w:szCs w:val="22"/>
          <w:u w:val="single"/>
        </w:rPr>
        <w:t>AD.2.</w:t>
      </w:r>
      <w:r>
        <w:rPr>
          <w:sz w:val="22"/>
          <w:szCs w:val="22"/>
        </w:rPr>
        <w:tab/>
        <w:tab/>
        <w:t>Natječaj je objavljen 13. travnja 2023. godine. Na Natječaj se javilo, za prirodu – 6 kandidata, za kemiju – 7 kandidata, za kuhara 5 kandidata.</w:t>
      </w:r>
    </w:p>
    <w:p>
      <w:pPr>
        <w:pStyle w:val="Normal"/>
        <w:jc w:val="both"/>
        <w:rPr>
          <w:sz w:val="22"/>
          <w:szCs w:val="22"/>
        </w:rPr>
      </w:pPr>
      <w:r>
        <w:rPr>
          <w:sz w:val="22"/>
          <w:szCs w:val="22"/>
        </w:rPr>
      </w:r>
    </w:p>
    <w:p>
      <w:pPr>
        <w:pStyle w:val="Normal"/>
        <w:jc w:val="both"/>
        <w:rPr>
          <w:sz w:val="22"/>
          <w:szCs w:val="22"/>
        </w:rPr>
      </w:pPr>
      <w:r>
        <w:rPr>
          <w:sz w:val="22"/>
          <w:szCs w:val="22"/>
        </w:rPr>
        <w:t>Obavljeno je vrednovanje kandidata koje se sastojalo od pisanog djela ispita i razgovora s komisijom. Na pisani dio ispita odazvalo se troje kandidata za prirodu, petero kandidata za kemiju i četvero kandidata za kuhara.</w:t>
      </w:r>
    </w:p>
    <w:p>
      <w:pPr>
        <w:pStyle w:val="Normal"/>
        <w:jc w:val="both"/>
        <w:rPr>
          <w:sz w:val="22"/>
          <w:szCs w:val="22"/>
        </w:rPr>
      </w:pPr>
      <w:r>
        <w:rPr>
          <w:sz w:val="22"/>
          <w:szCs w:val="22"/>
        </w:rPr>
      </w:r>
    </w:p>
    <w:p>
      <w:pPr>
        <w:pStyle w:val="Normal"/>
        <w:jc w:val="both"/>
        <w:rPr>
          <w:sz w:val="22"/>
          <w:szCs w:val="22"/>
        </w:rPr>
      </w:pPr>
      <w:r>
        <w:rPr>
          <w:sz w:val="22"/>
          <w:szCs w:val="22"/>
        </w:rPr>
        <w:t>Komisija je obavila razgovor s kandidatima koji su riješili više od 50 % ispita i to troje kandidata za prirodu, petero kandidata za kemiju i troje kandidata za kuhara.</w:t>
      </w:r>
    </w:p>
    <w:p>
      <w:pPr>
        <w:pStyle w:val="Normal"/>
        <w:jc w:val="both"/>
        <w:rPr>
          <w:sz w:val="22"/>
          <w:szCs w:val="22"/>
        </w:rPr>
      </w:pPr>
      <w:r>
        <w:rPr>
          <w:sz w:val="22"/>
          <w:szCs w:val="22"/>
        </w:rPr>
      </w:r>
    </w:p>
    <w:p>
      <w:pPr>
        <w:pStyle w:val="Normal"/>
        <w:jc w:val="both"/>
        <w:rPr>
          <w:sz w:val="22"/>
          <w:szCs w:val="22"/>
        </w:rPr>
      </w:pPr>
      <w:r>
        <w:rPr>
          <w:sz w:val="22"/>
          <w:szCs w:val="22"/>
        </w:rPr>
        <w:t>Na razgovor s ravnateljicom upućeno je troje najbolje rangiranih kandidata.</w:t>
      </w:r>
    </w:p>
    <w:p>
      <w:pPr>
        <w:pStyle w:val="Normal"/>
        <w:jc w:val="both"/>
        <w:rPr>
          <w:sz w:val="22"/>
          <w:szCs w:val="22"/>
        </w:rPr>
      </w:pPr>
      <w:r>
        <w:rPr>
          <w:sz w:val="22"/>
          <w:szCs w:val="22"/>
        </w:rPr>
      </w:r>
    </w:p>
    <w:p>
      <w:pPr>
        <w:pStyle w:val="Normal"/>
        <w:jc w:val="both"/>
        <w:rPr>
          <w:sz w:val="22"/>
          <w:szCs w:val="22"/>
        </w:rPr>
      </w:pPr>
      <w:r>
        <w:rPr>
          <w:sz w:val="22"/>
          <w:szCs w:val="22"/>
        </w:rPr>
        <w:t>Ravnateljica predlaže Školskom odboru zapošljavanje sljedećih osoba:</w:t>
      </w:r>
    </w:p>
    <w:p>
      <w:pPr>
        <w:pStyle w:val="Normal"/>
        <w:jc w:val="both"/>
        <w:rPr>
          <w:sz w:val="22"/>
          <w:szCs w:val="22"/>
        </w:rPr>
      </w:pPr>
      <w:r>
        <w:rPr>
          <w:sz w:val="22"/>
          <w:szCs w:val="22"/>
        </w:rPr>
      </w:r>
    </w:p>
    <w:p>
      <w:pPr>
        <w:pStyle w:val="Normal"/>
        <w:jc w:val="both"/>
        <w:rPr>
          <w:sz w:val="22"/>
          <w:szCs w:val="22"/>
        </w:rPr>
      </w:pPr>
      <w:r>
        <w:rPr>
          <w:sz w:val="22"/>
          <w:szCs w:val="22"/>
        </w:rPr>
        <w:t>1. Za radno mjesto učiteljice prirode,</w:t>
      </w:r>
      <w:r>
        <w:rPr>
          <w:b/>
          <w:bCs/>
          <w:sz w:val="22"/>
          <w:szCs w:val="22"/>
        </w:rPr>
        <w:t xml:space="preserve"> </w:t>
      </w:r>
      <w:r>
        <w:rPr>
          <w:sz w:val="22"/>
          <w:szCs w:val="22"/>
        </w:rPr>
        <w:t xml:space="preserve">1 izvršitelj / izvršiteljica na određeno, nepuno radno vrijeme (10 sati tjedno – 2 sata dnevnog radnog vremena) zaposliti Rominu Sabo, VSS, magistu istraživanja i razvoja lijekova </w:t>
      </w:r>
    </w:p>
    <w:p>
      <w:pPr>
        <w:pStyle w:val="Normal"/>
        <w:jc w:val="both"/>
        <w:rPr>
          <w:rFonts w:eastAsia="Calibri" w:eastAsiaTheme="minorHAnsi"/>
          <w:sz w:val="22"/>
          <w:szCs w:val="22"/>
        </w:rPr>
      </w:pPr>
      <w:r>
        <w:rPr>
          <w:rFonts w:eastAsia="Calibri" w:eastAsiaTheme="minorHAnsi"/>
          <w:sz w:val="22"/>
          <w:szCs w:val="22"/>
        </w:rPr>
      </w:r>
    </w:p>
    <w:p>
      <w:pPr>
        <w:pStyle w:val="Normal"/>
        <w:jc w:val="both"/>
        <w:rPr>
          <w:sz w:val="22"/>
          <w:szCs w:val="22"/>
        </w:rPr>
      </w:pPr>
      <w:r>
        <w:rPr>
          <w:sz w:val="22"/>
          <w:szCs w:val="22"/>
        </w:rPr>
        <w:t xml:space="preserve">2. Za radno mjesto učiteljice kemije, 1 izvršitelj / izvršiteljica na neodređeno, nepuno radno vrijeme (30 sati tjedno – 6 sati dnevnog radnog vremena) zaposliti Rominu Sabo, VSS, magistu istraživanja i razvoja lijekova </w:t>
      </w:r>
    </w:p>
    <w:p>
      <w:pPr>
        <w:pStyle w:val="Normal"/>
        <w:jc w:val="both"/>
        <w:rPr>
          <w:rFonts w:eastAsia="Calibri" w:eastAsiaTheme="minorHAnsi"/>
          <w:sz w:val="22"/>
          <w:szCs w:val="22"/>
        </w:rPr>
      </w:pPr>
      <w:r>
        <w:rPr>
          <w:rFonts w:eastAsia="Calibri" w:eastAsiaTheme="minorHAnsi"/>
          <w:sz w:val="22"/>
          <w:szCs w:val="22"/>
        </w:rPr>
      </w:r>
    </w:p>
    <w:p>
      <w:pPr>
        <w:pStyle w:val="Normal"/>
        <w:jc w:val="both"/>
        <w:rPr>
          <w:sz w:val="22"/>
          <w:szCs w:val="22"/>
        </w:rPr>
      </w:pPr>
      <w:r>
        <w:rPr>
          <w:sz w:val="22"/>
          <w:szCs w:val="22"/>
        </w:rPr>
        <w:t>3. Za radno mjesto kuharice,</w:t>
      </w:r>
      <w:r>
        <w:rPr>
          <w:b/>
          <w:bCs/>
          <w:sz w:val="22"/>
          <w:szCs w:val="22"/>
        </w:rPr>
        <w:t xml:space="preserve"> </w:t>
      </w:r>
      <w:r>
        <w:rPr>
          <w:sz w:val="22"/>
          <w:szCs w:val="22"/>
        </w:rPr>
        <w:t xml:space="preserve">1 izvršitelj / izvršiteljica na neodređeno, puno radno vrijeme, Almu Pezerović, SSS, kuhar </w:t>
      </w:r>
    </w:p>
    <w:p>
      <w:pPr>
        <w:pStyle w:val="NormalWeb"/>
        <w:spacing w:before="280" w:after="280"/>
        <w:jc w:val="both"/>
        <w:rPr>
          <w:color w:val="000000"/>
          <w:sz w:val="22"/>
          <w:szCs w:val="22"/>
        </w:rPr>
      </w:pPr>
      <w:r>
        <w:rPr>
          <w:color w:val="000000"/>
          <w:sz w:val="22"/>
          <w:szCs w:val="22"/>
        </w:rPr>
        <w:t>Slijedom traženja dodatnih pojašnjenja koje nam je uputio član Školskog odbora g. Duško Milovanović proslijedili smo i dodatna pojašnjenja kako slijedi:</w:t>
      </w:r>
    </w:p>
    <w:p>
      <w:pPr>
        <w:pStyle w:val="NormalWeb"/>
        <w:spacing w:before="280" w:after="280"/>
        <w:jc w:val="both"/>
        <w:rPr>
          <w:color w:val="000000"/>
          <w:sz w:val="22"/>
          <w:szCs w:val="22"/>
        </w:rPr>
      </w:pPr>
      <w:r>
        <w:rPr>
          <w:color w:val="000000"/>
          <w:sz w:val="22"/>
          <w:szCs w:val="22"/>
        </w:rPr>
        <w:t>Upit se odnosio na pitanje o tome radi li se o zapošljavanju nestručnog kadra ili se navedeno obrazovanje može smatrati da osigurava stručni kadar, te da li je na natječaj bilo prijava profesora kemije i prirode.</w:t>
      </w:r>
    </w:p>
    <w:p>
      <w:pPr>
        <w:pStyle w:val="NormalWeb"/>
        <w:spacing w:before="280" w:after="280"/>
        <w:jc w:val="both"/>
        <w:rPr>
          <w:bCs/>
          <w:sz w:val="22"/>
          <w:szCs w:val="22"/>
        </w:rPr>
      </w:pPr>
      <w:r>
        <w:rPr>
          <w:bCs/>
          <w:sz w:val="22"/>
          <w:szCs w:val="22"/>
        </w:rPr>
        <w:t>Dodatno obrazloženje:</w:t>
      </w:r>
    </w:p>
    <w:p>
      <w:pPr>
        <w:pStyle w:val="NormalWeb"/>
        <w:spacing w:before="280" w:after="280"/>
        <w:jc w:val="both"/>
        <w:rPr>
          <w:rStyle w:val="Kurziv"/>
          <w:color w:val="000000"/>
          <w:sz w:val="22"/>
          <w:szCs w:val="22"/>
          <w:shd w:fill="FFFFFF" w:val="clear"/>
        </w:rPr>
      </w:pPr>
      <w:r>
        <w:rPr>
          <w:sz w:val="22"/>
          <w:szCs w:val="22"/>
        </w:rPr>
        <w:t xml:space="preserve">Na natječaj za kemiju i prirodu nisu se javili magistiri edukacije kemije / biologije.  Prema Pravilniku o odgovarajućoj vrsti obrazovanja učitelja i stručnih suradnika u osnovnoj školi (NN 6/2019), a vezano uz natječaj za učitelja kemije, svi kandidati koji se javili zastupljeni su člankom 19. grupom b) </w:t>
      </w:r>
      <w:r>
        <w:rPr>
          <w:rStyle w:val="Bold"/>
          <w:bCs/>
          <w:color w:val="000000"/>
          <w:sz w:val="22"/>
          <w:szCs w:val="22"/>
          <w:shd w:fill="FFFFFF" w:val="clear"/>
        </w:rPr>
        <w:t>Drugi studijski program </w:t>
      </w:r>
      <w:r>
        <w:rPr>
          <w:rStyle w:val="Kurziv"/>
          <w:i/>
          <w:iCs/>
          <w:color w:val="000000"/>
          <w:sz w:val="22"/>
          <w:szCs w:val="22"/>
          <w:shd w:fill="FFFFFF" w:val="clear"/>
        </w:rPr>
        <w:t xml:space="preserve">s minimalno 55 ECTS bodova iz kemije </w:t>
      </w:r>
      <w:r>
        <w:rPr>
          <w:rStyle w:val="Kurziv"/>
          <w:bCs/>
          <w:color w:val="000000"/>
          <w:sz w:val="22"/>
          <w:szCs w:val="22"/>
          <w:shd w:fill="FFFFFF" w:val="clear"/>
        </w:rPr>
        <w:t>i time je stručnost učitelja kemije utemeljena.</w:t>
      </w:r>
    </w:p>
    <w:p>
      <w:pPr>
        <w:pStyle w:val="NormalWeb"/>
        <w:spacing w:before="280" w:after="280"/>
        <w:jc w:val="both"/>
        <w:rPr>
          <w:rStyle w:val="Kurziv"/>
          <w:bCs/>
          <w:color w:val="000000"/>
          <w:sz w:val="22"/>
          <w:szCs w:val="22"/>
          <w:shd w:fill="FFFFFF" w:val="clear"/>
        </w:rPr>
      </w:pPr>
      <w:r>
        <w:rPr>
          <w:rStyle w:val="Kurziv"/>
          <w:color w:val="000000"/>
          <w:sz w:val="22"/>
          <w:szCs w:val="22"/>
          <w:shd w:fill="FFFFFF" w:val="clear"/>
        </w:rPr>
        <w:t>Za učitelja prirode javili su se isti kandidati</w:t>
      </w:r>
      <w:r>
        <w:rPr>
          <w:rStyle w:val="Kurziv"/>
          <w:bCs/>
          <w:color w:val="000000"/>
          <w:sz w:val="22"/>
          <w:szCs w:val="22"/>
          <w:shd w:fill="FFFFFF" w:val="clear"/>
        </w:rPr>
        <w:t>, no priroda je u ovom slučaju nestručno zastupljena.</w:t>
      </w:r>
    </w:p>
    <w:p>
      <w:pPr>
        <w:pStyle w:val="NormalWeb"/>
        <w:spacing w:before="280" w:after="280"/>
        <w:jc w:val="both"/>
        <w:rPr>
          <w:bCs/>
          <w:color w:val="000000"/>
          <w:sz w:val="22"/>
          <w:szCs w:val="22"/>
          <w:shd w:fill="FFFFFF" w:val="clear"/>
        </w:rPr>
      </w:pPr>
      <w:r>
        <w:rPr>
          <w:bCs/>
          <w:color w:val="000000"/>
          <w:sz w:val="22"/>
          <w:szCs w:val="22"/>
          <w:shd w:fill="FFFFFF" w:val="clear"/>
        </w:rPr>
        <w:t xml:space="preserve">Nakon dostavljenog dodatnog pojašnjenja i prebrojenih glasova iskazanih putem elektroničke pošte, utvrđuje se </w:t>
      </w:r>
      <w:r>
        <w:rPr>
          <w:sz w:val="22"/>
          <w:szCs w:val="22"/>
        </w:rPr>
        <w:t>rezultat glasovanja:</w:t>
      </w:r>
    </w:p>
    <w:p>
      <w:pPr>
        <w:pStyle w:val="Normal"/>
        <w:jc w:val="both"/>
        <w:rPr>
          <w:sz w:val="22"/>
          <w:szCs w:val="22"/>
        </w:rPr>
      </w:pPr>
      <w:r>
        <w:rPr>
          <w:sz w:val="22"/>
          <w:szCs w:val="22"/>
        </w:rPr>
      </w:r>
    </w:p>
    <w:p>
      <w:pPr>
        <w:pStyle w:val="Normal"/>
        <w:ind w:firstLine="708"/>
        <w:jc w:val="both"/>
        <w:rPr>
          <w:sz w:val="22"/>
          <w:szCs w:val="22"/>
        </w:rPr>
      </w:pPr>
      <w:r>
        <w:rPr>
          <w:sz w:val="22"/>
          <w:szCs w:val="22"/>
        </w:rPr>
        <w:t>Budući da nitko nije imao primjedbi, jednoglasno se donose (7/7) sljedeće:</w:t>
      </w:r>
    </w:p>
    <w:p>
      <w:pPr>
        <w:pStyle w:val="Normal"/>
        <w:jc w:val="both"/>
        <w:rPr>
          <w:sz w:val="22"/>
          <w:szCs w:val="22"/>
        </w:rPr>
      </w:pPr>
      <w:r>
        <w:rPr>
          <w:sz w:val="22"/>
          <w:szCs w:val="22"/>
        </w:rPr>
      </w:r>
    </w:p>
    <w:p>
      <w:pPr>
        <w:pStyle w:val="PlainText"/>
        <w:rPr>
          <w:rFonts w:ascii="Times New Roman" w:hAnsi="Times New Roman" w:cs="Times New Roman"/>
        </w:rPr>
      </w:pPr>
      <w:r>
        <w:rPr>
          <w:rFonts w:cs="Times New Roman" w:ascii="Times New Roman" w:hAnsi="Times New Roman"/>
        </w:rPr>
      </w:r>
    </w:p>
    <w:p>
      <w:pPr>
        <w:pStyle w:val="PlainText"/>
        <w:jc w:val="center"/>
        <w:rPr>
          <w:rFonts w:ascii="Times New Roman" w:hAnsi="Times New Roman" w:cs="Times New Roman"/>
          <w:b/>
          <w:b/>
        </w:rPr>
      </w:pPr>
      <w:r>
        <w:rPr>
          <w:rFonts w:cs="Times New Roman" w:ascii="Times New Roman" w:hAnsi="Times New Roman"/>
          <w:b/>
        </w:rPr>
        <w:t>1. Odluka</w:t>
      </w:r>
    </w:p>
    <w:p>
      <w:pPr>
        <w:pStyle w:val="Normal"/>
        <w:jc w:val="center"/>
        <w:rPr>
          <w:sz w:val="22"/>
          <w:szCs w:val="22"/>
        </w:rPr>
      </w:pPr>
      <w:r>
        <w:rPr>
          <w:sz w:val="22"/>
          <w:szCs w:val="22"/>
        </w:rPr>
        <w:t>„</w:t>
      </w:r>
      <w:r>
        <w:rPr>
          <w:sz w:val="22"/>
          <w:szCs w:val="22"/>
        </w:rPr>
        <w:t>Rominu Sabo, VSS, magistu istraživanja i razvoja lijekova, na radnom mjestu učiteljice prirode,</w:t>
      </w:r>
      <w:r>
        <w:rPr>
          <w:b/>
          <w:bCs/>
          <w:sz w:val="22"/>
          <w:szCs w:val="22"/>
        </w:rPr>
        <w:t xml:space="preserve"> </w:t>
      </w:r>
      <w:r>
        <w:rPr>
          <w:sz w:val="22"/>
          <w:szCs w:val="22"/>
        </w:rPr>
        <w:t>1 izvršitelj / izvršiteljica na određeno, nepuno radno vrijeme (10 sati tjedno – 2 sata dnevnog radnog vremena), zapošljava se.“</w:t>
      </w:r>
    </w:p>
    <w:p>
      <w:pPr>
        <w:pStyle w:val="Normal"/>
        <w:jc w:val="center"/>
        <w:rPr>
          <w:sz w:val="22"/>
          <w:szCs w:val="22"/>
        </w:rPr>
      </w:pPr>
      <w:r>
        <w:rPr>
          <w:sz w:val="22"/>
          <w:szCs w:val="22"/>
        </w:rPr>
      </w:r>
    </w:p>
    <w:p>
      <w:pPr>
        <w:pStyle w:val="PlainText"/>
        <w:jc w:val="center"/>
        <w:rPr>
          <w:rFonts w:ascii="Times New Roman" w:hAnsi="Times New Roman" w:cs="Times New Roman"/>
          <w:b/>
          <w:b/>
        </w:rPr>
      </w:pPr>
      <w:r>
        <w:rPr>
          <w:rFonts w:cs="Times New Roman" w:ascii="Times New Roman" w:hAnsi="Times New Roman"/>
          <w:b/>
        </w:rPr>
        <w:t>2. Odluka</w:t>
      </w:r>
    </w:p>
    <w:p>
      <w:pPr>
        <w:pStyle w:val="Normal"/>
        <w:jc w:val="center"/>
        <w:rPr>
          <w:sz w:val="22"/>
          <w:szCs w:val="22"/>
        </w:rPr>
      </w:pPr>
      <w:r>
        <w:rPr>
          <w:sz w:val="22"/>
          <w:szCs w:val="22"/>
        </w:rPr>
        <w:t>„</w:t>
      </w:r>
      <w:r>
        <w:rPr>
          <w:sz w:val="22"/>
          <w:szCs w:val="22"/>
        </w:rPr>
        <w:t>Rominu Sabo, VSS, magistu istraživanja i razvoja lijekova, na radnom mjestu učiteljice kemije,</w:t>
      </w:r>
      <w:r>
        <w:rPr>
          <w:b/>
          <w:bCs/>
          <w:sz w:val="22"/>
          <w:szCs w:val="22"/>
        </w:rPr>
        <w:t xml:space="preserve"> </w:t>
      </w:r>
      <w:r>
        <w:rPr>
          <w:sz w:val="22"/>
          <w:szCs w:val="22"/>
        </w:rPr>
        <w:t>1 izvršitelj / izvršiteljica na neodređeno, nepuno radno vrijeme vrijeme (30 sati tjedno – 6 sati dnevnog radnog vremena), zapošljava se.“</w:t>
      </w:r>
    </w:p>
    <w:p>
      <w:pPr>
        <w:pStyle w:val="Normal"/>
        <w:jc w:val="center"/>
        <w:rPr>
          <w:sz w:val="22"/>
          <w:szCs w:val="22"/>
        </w:rPr>
      </w:pPr>
      <w:r>
        <w:rPr>
          <w:sz w:val="22"/>
          <w:szCs w:val="22"/>
        </w:rPr>
      </w:r>
    </w:p>
    <w:p>
      <w:pPr>
        <w:pStyle w:val="Normal"/>
        <w:jc w:val="center"/>
        <w:rPr>
          <w:b/>
          <w:b/>
          <w:sz w:val="22"/>
          <w:szCs w:val="22"/>
        </w:rPr>
      </w:pPr>
      <w:r>
        <w:rPr>
          <w:b/>
          <w:sz w:val="22"/>
          <w:szCs w:val="22"/>
        </w:rPr>
        <w:t>3. Odluka</w:t>
      </w:r>
    </w:p>
    <w:p>
      <w:pPr>
        <w:pStyle w:val="Normal"/>
        <w:jc w:val="center"/>
        <w:rPr>
          <w:sz w:val="22"/>
          <w:szCs w:val="22"/>
        </w:rPr>
      </w:pPr>
      <w:r>
        <w:rPr>
          <w:sz w:val="22"/>
          <w:szCs w:val="22"/>
        </w:rPr>
        <w:t>„</w:t>
      </w:r>
      <w:r>
        <w:rPr>
          <w:sz w:val="22"/>
          <w:szCs w:val="22"/>
        </w:rPr>
        <w:t>Alma Pezerović, SSS, Kuhar, na radnom mjesto kuharice,</w:t>
      </w:r>
      <w:r>
        <w:rPr>
          <w:b/>
          <w:bCs/>
          <w:sz w:val="22"/>
          <w:szCs w:val="22"/>
        </w:rPr>
        <w:t xml:space="preserve"> </w:t>
      </w:r>
      <w:r>
        <w:rPr>
          <w:sz w:val="22"/>
          <w:szCs w:val="22"/>
        </w:rPr>
        <w:t>1 izvršitelj / izvršiteljica na neodređeno, puno radno vrijeme, zapošljava se“.</w:t>
      </w:r>
    </w:p>
    <w:p>
      <w:pPr>
        <w:pStyle w:val="Normal"/>
        <w:spacing w:lineRule="auto" w:line="259" w:before="0" w:after="160"/>
        <w:jc w:val="center"/>
        <w:rPr>
          <w:sz w:val="22"/>
          <w:szCs w:val="22"/>
        </w:rPr>
      </w:pPr>
      <w:r>
        <w:rPr>
          <w:sz w:val="22"/>
          <w:szCs w:val="22"/>
        </w:rPr>
      </w:r>
    </w:p>
    <w:p>
      <w:pPr>
        <w:pStyle w:val="Normal"/>
        <w:jc w:val="both"/>
        <w:rPr>
          <w:sz w:val="22"/>
          <w:szCs w:val="22"/>
          <w:u w:val="single"/>
        </w:rPr>
      </w:pPr>
      <w:r>
        <w:rPr>
          <w:sz w:val="22"/>
          <w:szCs w:val="22"/>
          <w:u w:val="single"/>
        </w:rPr>
      </w:r>
    </w:p>
    <w:p>
      <w:pPr>
        <w:pStyle w:val="Normal"/>
        <w:spacing w:lineRule="auto" w:line="259" w:before="0" w:after="160"/>
        <w:rPr>
          <w:sz w:val="22"/>
          <w:szCs w:val="22"/>
          <w:u w:val="single"/>
        </w:rPr>
      </w:pPr>
      <w:r>
        <w:rPr>
          <w:sz w:val="22"/>
          <w:szCs w:val="22"/>
          <w:u w:val="single"/>
        </w:rPr>
      </w:r>
      <w:r>
        <w:br w:type="page"/>
      </w:r>
    </w:p>
    <w:p>
      <w:pPr>
        <w:pStyle w:val="Normal"/>
        <w:jc w:val="both"/>
        <w:rPr>
          <w:sz w:val="22"/>
          <w:szCs w:val="22"/>
        </w:rPr>
      </w:pPr>
      <w:r>
        <w:rPr>
          <w:sz w:val="22"/>
          <w:szCs w:val="22"/>
          <w:u w:val="single"/>
        </w:rPr>
        <w:t>AD.3.</w:t>
      </w:r>
      <w:r>
        <w:rPr>
          <w:sz w:val="22"/>
          <w:szCs w:val="22"/>
        </w:rPr>
        <w:tab/>
        <w:tab/>
      </w:r>
    </w:p>
    <w:p>
      <w:pPr>
        <w:pStyle w:val="Normal"/>
        <w:jc w:val="both"/>
        <w:rPr>
          <w:sz w:val="22"/>
          <w:szCs w:val="22"/>
        </w:rPr>
      </w:pPr>
      <w:r>
        <w:rPr>
          <w:sz w:val="22"/>
          <w:szCs w:val="22"/>
        </w:rPr>
      </w:r>
    </w:p>
    <w:p>
      <w:pPr>
        <w:pStyle w:val="Naslov"/>
        <w:rPr>
          <w:rFonts w:ascii="Times New Roman" w:hAnsi="Times New Roman"/>
          <w:color w:val="auto"/>
          <w:sz w:val="24"/>
          <w:szCs w:val="24"/>
        </w:rPr>
      </w:pPr>
      <w:r>
        <w:rPr>
          <w:rFonts w:ascii="Times New Roman" w:hAnsi="Times New Roman"/>
          <w:color w:val="auto"/>
          <w:sz w:val="24"/>
          <w:szCs w:val="24"/>
        </w:rPr>
        <w:t>OBRAZLOŽENJE OSTVARENJA FINANCIJSKOG PLANA</w:t>
      </w:r>
    </w:p>
    <w:p>
      <w:pPr>
        <w:pStyle w:val="Naslov"/>
        <w:rPr>
          <w:rFonts w:ascii="Times New Roman" w:hAnsi="Times New Roman"/>
          <w:color w:val="auto"/>
          <w:sz w:val="24"/>
          <w:szCs w:val="24"/>
        </w:rPr>
      </w:pPr>
      <w:r>
        <w:rPr>
          <w:rFonts w:ascii="Times New Roman" w:hAnsi="Times New Roman"/>
          <w:color w:val="auto"/>
          <w:sz w:val="24"/>
          <w:szCs w:val="24"/>
        </w:rPr>
        <w:t xml:space="preserve"> </w:t>
      </w:r>
      <w:r>
        <w:rPr>
          <w:rFonts w:ascii="Times New Roman" w:hAnsi="Times New Roman"/>
          <w:color w:val="auto"/>
          <w:sz w:val="24"/>
          <w:szCs w:val="24"/>
        </w:rPr>
        <w:t>ZA 2022. GODINU</w:t>
      </w:r>
    </w:p>
    <w:p>
      <w:pPr>
        <w:pStyle w:val="Naslov"/>
        <w:rPr>
          <w:rFonts w:ascii="Times New Roman" w:hAnsi="Times New Roman"/>
          <w:color w:val="auto"/>
          <w:sz w:val="24"/>
          <w:szCs w:val="24"/>
        </w:rPr>
      </w:pPr>
      <w:r>
        <w:rPr>
          <w:rFonts w:ascii="Times New Roman" w:hAnsi="Times New Roman"/>
          <w:color w:val="auto"/>
          <w:sz w:val="24"/>
          <w:szCs w:val="24"/>
        </w:rPr>
      </w:r>
    </w:p>
    <w:p>
      <w:pPr>
        <w:pStyle w:val="Naslov"/>
        <w:rPr>
          <w:rFonts w:ascii="Times New Roman" w:hAnsi="Times New Roman"/>
          <w:color w:val="auto"/>
          <w:sz w:val="24"/>
          <w:szCs w:val="24"/>
          <w:u w:val="single"/>
        </w:rPr>
      </w:pPr>
      <w:r>
        <w:rPr>
          <w:rFonts w:ascii="Times New Roman" w:hAnsi="Times New Roman"/>
          <w:color w:val="auto"/>
          <w:sz w:val="24"/>
          <w:szCs w:val="24"/>
          <w:u w:val="single"/>
        </w:rPr>
        <w:t>OŠ PODMURVICE</w:t>
      </w:r>
    </w:p>
    <w:p>
      <w:pPr>
        <w:pStyle w:val="Normal"/>
        <w:jc w:val="center"/>
        <w:rPr>
          <w:b/>
          <w:b/>
        </w:rPr>
      </w:pPr>
      <w:r>
        <w:rPr>
          <w:b/>
        </w:rPr>
      </w:r>
    </w:p>
    <w:p>
      <w:pPr>
        <w:pStyle w:val="Normal"/>
        <w:jc w:val="center"/>
        <w:rPr>
          <w:b/>
          <w:b/>
        </w:rPr>
      </w:pPr>
      <w:r>
        <w:rPr>
          <w:b/>
        </w:rPr>
      </w:r>
    </w:p>
    <w:p>
      <w:pPr>
        <w:pStyle w:val="Tijeloteksta"/>
        <w:numPr>
          <w:ilvl w:val="0"/>
          <w:numId w:val="4"/>
        </w:numPr>
        <w:spacing w:before="0" w:after="0"/>
        <w:jc w:val="both"/>
        <w:rPr>
          <w:rFonts w:ascii="Times New Roman" w:hAnsi="Times New Roman"/>
          <w:b/>
          <w:b/>
        </w:rPr>
      </w:pPr>
      <w:r>
        <w:rPr>
          <w:rFonts w:ascii="Times New Roman" w:hAnsi="Times New Roman"/>
          <w:b/>
        </w:rPr>
        <w:t>UVOD</w:t>
      </w:r>
    </w:p>
    <w:p>
      <w:pPr>
        <w:pStyle w:val="Tijeloteksta"/>
        <w:rPr>
          <w:rFonts w:ascii="Times New Roman" w:hAnsi="Times New Roman"/>
          <w:b/>
          <w:b/>
        </w:rPr>
      </w:pPr>
      <w:r>
        <w:rPr>
          <w:rFonts w:ascii="Times New Roman" w:hAnsi="Times New Roman"/>
          <w:b/>
        </w:rPr>
      </w:r>
    </w:p>
    <w:p>
      <w:pPr>
        <w:pStyle w:val="Zaglavlje"/>
        <w:jc w:val="both"/>
        <w:rPr>
          <w:rFonts w:ascii="Times New Roman" w:hAnsi="Times New Roman"/>
        </w:rPr>
      </w:pPr>
      <w:r>
        <w:rPr>
          <w:rFonts w:ascii="Times New Roman" w:hAnsi="Times New Roman"/>
        </w:rPr>
        <w:tab/>
        <w:t>Škola obavlja poslove sukladno Zakonu o odgoju i obrazovanju u osnovnoj i srednjoj školi (NN br. 87/08, 86/09, 92/10, 105/10, 90/11, 05/12, 16/12, 86/12, 126/12, 94/13, 152/14, 07/17, 68/18, 98/19 i 64/20), Državnom pedagoškom standardu osnovnoškolskog sustava odgoja i obrazovanja (NN br. 63/08, 90/10) i Zakonu o odgoju i obrazovanju na jeziku i pismu  nacionalnih manjina (NN br. 51/00, 56/00).</w:t>
      </w:r>
    </w:p>
    <w:p>
      <w:pPr>
        <w:pStyle w:val="Zaglavlje"/>
        <w:jc w:val="both"/>
        <w:rPr>
          <w:rFonts w:ascii="Times New Roman" w:hAnsi="Times New Roman"/>
        </w:rPr>
      </w:pPr>
      <w:r>
        <w:rPr>
          <w:rFonts w:ascii="Times New Roman" w:hAnsi="Times New Roman"/>
        </w:rPr>
      </w:r>
    </w:p>
    <w:p>
      <w:pPr>
        <w:pStyle w:val="Zaglavlje"/>
        <w:jc w:val="both"/>
        <w:rPr>
          <w:rFonts w:ascii="Times New Roman" w:hAnsi="Times New Roman"/>
        </w:rPr>
      </w:pPr>
      <w:r>
        <w:rPr>
          <w:rFonts w:ascii="Times New Roman" w:hAnsi="Times New Roman"/>
        </w:rPr>
      </w:r>
    </w:p>
    <w:p>
      <w:pPr>
        <w:pStyle w:val="Zaglavlje"/>
        <w:jc w:val="both"/>
        <w:rPr>
          <w:rFonts w:ascii="Times New Roman" w:hAnsi="Times New Roman"/>
        </w:rPr>
      </w:pPr>
      <w:r>
        <w:rPr>
          <w:rFonts w:ascii="Times New Roman" w:hAnsi="Times New Roman"/>
        </w:rPr>
        <w:t xml:space="preserve">U 2022. godini ostvareno je ukupno 10.972.252 kn prihoda i 10.998.392 kn rashoda. Ostvaren je manjak prihoda u iznosu 26.140 kn. </w:t>
      </w:r>
    </w:p>
    <w:p>
      <w:pPr>
        <w:pStyle w:val="Tijeloteksta"/>
        <w:rPr>
          <w:rFonts w:ascii="Times New Roman" w:hAnsi="Times New Roman"/>
          <w:color w:val="000000"/>
        </w:rPr>
      </w:pPr>
      <w:r>
        <w:rPr>
          <w:rFonts w:ascii="Times New Roman" w:hAnsi="Times New Roman"/>
          <w:color w:val="000000"/>
        </w:rPr>
      </w:r>
    </w:p>
    <w:p>
      <w:pPr>
        <w:pStyle w:val="Tijeloteksta"/>
        <w:rPr>
          <w:rFonts w:ascii="Times New Roman" w:hAnsi="Times New Roman"/>
        </w:rPr>
      </w:pPr>
      <w:r>
        <w:rPr>
          <w:rFonts w:ascii="Times New Roman" w:hAnsi="Times New Roman"/>
        </w:rPr>
        <w:t xml:space="preserve">                                </w:t>
      </w:r>
    </w:p>
    <w:p>
      <w:pPr>
        <w:pStyle w:val="Tijeloteksta"/>
        <w:rPr>
          <w:rFonts w:ascii="Times New Roman" w:hAnsi="Times New Roman"/>
        </w:rPr>
      </w:pPr>
      <w:r>
        <w:rPr>
          <w:rFonts w:ascii="Times New Roman" w:hAnsi="Times New Roman"/>
        </w:rPr>
        <w:t>Pregled financijskih sredstava po programima (u kunama):</w:t>
      </w:r>
    </w:p>
    <w:p>
      <w:pPr>
        <w:pStyle w:val="Tijeloteksta"/>
        <w:rPr>
          <w:rFonts w:ascii="Times New Roman" w:hAnsi="Times New Roman"/>
        </w:rPr>
      </w:pPr>
      <w:r>
        <w:rPr>
          <w:rFonts w:ascii="Times New Roman" w:hAnsi="Times New Roman"/>
        </w:rPr>
      </w:r>
    </w:p>
    <w:tbl>
      <w:tblPr>
        <w:tblW w:w="9087" w:type="dxa"/>
        <w:jc w:val="left"/>
        <w:tblInd w:w="93" w:type="dxa"/>
        <w:tblLayout w:type="fixed"/>
        <w:tblCellMar>
          <w:top w:w="0" w:type="dxa"/>
          <w:left w:w="108" w:type="dxa"/>
          <w:bottom w:w="0" w:type="dxa"/>
          <w:right w:w="108" w:type="dxa"/>
        </w:tblCellMar>
        <w:tblLook w:firstRow="1" w:noVBand="1" w:lastRow="0" w:firstColumn="1" w:lastColumn="0" w:noHBand="0" w:val="04a0"/>
      </w:tblPr>
      <w:tblGrid>
        <w:gridCol w:w="3983"/>
        <w:gridCol w:w="1843"/>
        <w:gridCol w:w="2126"/>
        <w:gridCol w:w="1134"/>
      </w:tblGrid>
      <w:tr>
        <w:trPr>
          <w:trHeight w:val="564" w:hRule="atLeast"/>
        </w:trPr>
        <w:tc>
          <w:tcPr>
            <w:tcW w:w="3983" w:type="dxa"/>
            <w:tcBorders>
              <w:top w:val="single" w:sz="4" w:space="0" w:color="000000"/>
              <w:left w:val="single" w:sz="4" w:space="0" w:color="000000"/>
              <w:bottom w:val="single" w:sz="4" w:space="0" w:color="000000"/>
              <w:right w:val="single" w:sz="4" w:space="0" w:color="000000"/>
            </w:tcBorders>
            <w:shd w:color="auto" w:fill="D9D9D9" w:val="clear"/>
            <w:vAlign w:val="center"/>
          </w:tcPr>
          <w:p>
            <w:pPr>
              <w:pStyle w:val="Normal"/>
              <w:widowControl w:val="false"/>
              <w:jc w:val="center"/>
              <w:rPr>
                <w:b/>
                <w:b/>
                <w:color w:val="000000"/>
              </w:rPr>
            </w:pPr>
            <w:r>
              <w:rPr>
                <w:b/>
                <w:color w:val="000000"/>
              </w:rPr>
              <w:t>Naziv programa iz Proračuna</w:t>
            </w:r>
          </w:p>
        </w:tc>
        <w:tc>
          <w:tcPr>
            <w:tcW w:w="1843" w:type="dxa"/>
            <w:tcBorders>
              <w:top w:val="single" w:sz="4" w:space="0" w:color="000000"/>
              <w:bottom w:val="single" w:sz="4" w:space="0" w:color="000000"/>
              <w:right w:val="single" w:sz="4" w:space="0" w:color="000000"/>
            </w:tcBorders>
            <w:shd w:color="auto" w:fill="D9D9D9" w:val="clear"/>
            <w:vAlign w:val="center"/>
          </w:tcPr>
          <w:p>
            <w:pPr>
              <w:pStyle w:val="Normal"/>
              <w:widowControl w:val="false"/>
              <w:jc w:val="center"/>
              <w:rPr>
                <w:b/>
                <w:b/>
                <w:color w:val="000000"/>
              </w:rPr>
            </w:pPr>
            <w:r>
              <w:rPr>
                <w:b/>
                <w:color w:val="000000"/>
              </w:rPr>
              <w:t>Plan</w:t>
            </w:r>
          </w:p>
          <w:p>
            <w:pPr>
              <w:pStyle w:val="Normal"/>
              <w:widowControl w:val="false"/>
              <w:jc w:val="center"/>
              <w:rPr>
                <w:b/>
                <w:b/>
                <w:color w:val="000000"/>
              </w:rPr>
            </w:pPr>
            <w:r>
              <w:rPr>
                <w:b/>
                <w:color w:val="000000"/>
              </w:rPr>
              <w:t>2022.</w:t>
            </w:r>
          </w:p>
        </w:tc>
        <w:tc>
          <w:tcPr>
            <w:tcW w:w="2126" w:type="dxa"/>
            <w:tcBorders>
              <w:top w:val="single" w:sz="4" w:space="0" w:color="000000"/>
              <w:bottom w:val="single" w:sz="4" w:space="0" w:color="000000"/>
              <w:right w:val="single" w:sz="4" w:space="0" w:color="000000"/>
            </w:tcBorders>
            <w:shd w:color="auto" w:fill="D9D9D9" w:val="clear"/>
            <w:vAlign w:val="center"/>
          </w:tcPr>
          <w:p>
            <w:pPr>
              <w:pStyle w:val="Normal"/>
              <w:widowControl w:val="false"/>
              <w:jc w:val="center"/>
              <w:rPr>
                <w:b/>
                <w:b/>
                <w:color w:val="000000"/>
              </w:rPr>
            </w:pPr>
            <w:r>
              <w:rPr>
                <w:b/>
                <w:color w:val="000000"/>
              </w:rPr>
              <w:t xml:space="preserve">Ostvareni rashodi </w:t>
            </w:r>
          </w:p>
          <w:p>
            <w:pPr>
              <w:pStyle w:val="Normal"/>
              <w:widowControl w:val="false"/>
              <w:jc w:val="center"/>
              <w:rPr>
                <w:b/>
                <w:b/>
                <w:color w:val="000000"/>
              </w:rPr>
            </w:pPr>
            <w:r>
              <w:rPr>
                <w:b/>
                <w:color w:val="000000"/>
              </w:rPr>
              <w:t>2022.</w:t>
            </w:r>
          </w:p>
        </w:tc>
        <w:tc>
          <w:tcPr>
            <w:tcW w:w="1134" w:type="dxa"/>
            <w:tcBorders>
              <w:top w:val="single" w:sz="4" w:space="0" w:color="000000"/>
              <w:bottom w:val="single" w:sz="4" w:space="0" w:color="000000"/>
              <w:right w:val="single" w:sz="4" w:space="0" w:color="000000"/>
            </w:tcBorders>
            <w:shd w:color="auto" w:fill="D9D9D9" w:val="clear"/>
            <w:vAlign w:val="center"/>
          </w:tcPr>
          <w:p>
            <w:pPr>
              <w:pStyle w:val="Normal"/>
              <w:widowControl w:val="false"/>
              <w:jc w:val="center"/>
              <w:rPr>
                <w:b/>
                <w:b/>
                <w:color w:val="000000"/>
              </w:rPr>
            </w:pPr>
            <w:r>
              <w:rPr>
                <w:b/>
                <w:color w:val="000000"/>
              </w:rPr>
              <w:t xml:space="preserve">Indeks </w:t>
            </w:r>
          </w:p>
        </w:tc>
      </w:tr>
      <w:tr>
        <w:trPr>
          <w:trHeight w:val="282" w:hRule="atLeast"/>
        </w:trPr>
        <w:tc>
          <w:tcPr>
            <w:tcW w:w="3983"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color w:val="000000"/>
              </w:rPr>
            </w:pPr>
            <w:r>
              <w:rPr>
                <w:b/>
              </w:rPr>
              <w:t>Program 1137:</w:t>
            </w:r>
            <w:r>
              <w:rPr/>
              <w:t xml:space="preserve"> PROGRAM ZAKONSKOG STANDARDA</w:t>
            </w:r>
          </w:p>
        </w:tc>
        <w:tc>
          <w:tcPr>
            <w:tcW w:w="1843" w:type="dxa"/>
            <w:tcBorders>
              <w:bottom w:val="single" w:sz="4" w:space="0" w:color="000000"/>
              <w:right w:val="single" w:sz="4" w:space="0" w:color="000000"/>
            </w:tcBorders>
            <w:shd w:color="auto" w:fill="auto" w:val="clear"/>
            <w:vAlign w:val="bottom"/>
          </w:tcPr>
          <w:p>
            <w:pPr>
              <w:pStyle w:val="Normal"/>
              <w:widowControl w:val="false"/>
              <w:jc w:val="right"/>
              <w:rPr>
                <w:color w:val="000000"/>
              </w:rPr>
            </w:pPr>
            <w:r>
              <w:rPr>
                <w:color w:val="000000"/>
              </w:rPr>
              <w:t>785.810</w:t>
            </w:r>
          </w:p>
        </w:tc>
        <w:tc>
          <w:tcPr>
            <w:tcW w:w="2126" w:type="dxa"/>
            <w:tcBorders>
              <w:bottom w:val="single" w:sz="4" w:space="0" w:color="000000"/>
              <w:right w:val="single" w:sz="4" w:space="0" w:color="000000"/>
            </w:tcBorders>
            <w:shd w:color="auto" w:fill="auto" w:val="clear"/>
            <w:vAlign w:val="bottom"/>
          </w:tcPr>
          <w:p>
            <w:pPr>
              <w:pStyle w:val="Normal"/>
              <w:widowControl w:val="false"/>
              <w:jc w:val="right"/>
              <w:rPr>
                <w:color w:val="000000"/>
              </w:rPr>
            </w:pPr>
            <w:r>
              <w:rPr>
                <w:color w:val="000000"/>
              </w:rPr>
              <w:t>704.948</w:t>
            </w:r>
          </w:p>
        </w:tc>
        <w:tc>
          <w:tcPr>
            <w:tcW w:w="1134" w:type="dxa"/>
            <w:tcBorders>
              <w:bottom w:val="single" w:sz="4" w:space="0" w:color="000000"/>
              <w:right w:val="single" w:sz="4" w:space="0" w:color="000000"/>
            </w:tcBorders>
            <w:vAlign w:val="bottom"/>
          </w:tcPr>
          <w:p>
            <w:pPr>
              <w:pStyle w:val="Normal"/>
              <w:widowControl w:val="false"/>
              <w:jc w:val="right"/>
              <w:rPr>
                <w:color w:val="000000"/>
                <w:sz w:val="22"/>
                <w:szCs w:val="22"/>
              </w:rPr>
            </w:pPr>
            <w:r>
              <w:rPr>
                <w:color w:val="000000"/>
                <w:sz w:val="22"/>
                <w:szCs w:val="22"/>
              </w:rPr>
              <w:t>89,70 %</w:t>
            </w:r>
          </w:p>
        </w:tc>
      </w:tr>
      <w:tr>
        <w:trPr>
          <w:trHeight w:val="282" w:hRule="atLeast"/>
        </w:trPr>
        <w:tc>
          <w:tcPr>
            <w:tcW w:w="3983"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color w:val="000000"/>
              </w:rPr>
            </w:pPr>
            <w:r>
              <w:rPr>
                <w:b/>
              </w:rPr>
              <w:t>Program 1138:</w:t>
            </w:r>
            <w:r>
              <w:rPr/>
              <w:t xml:space="preserve"> PROGRAM STANDARDA IZNAD DRŽAVNOG – ŠIRE JAVNE POTREBE</w:t>
            </w:r>
          </w:p>
        </w:tc>
        <w:tc>
          <w:tcPr>
            <w:tcW w:w="1843" w:type="dxa"/>
            <w:tcBorders>
              <w:bottom w:val="single" w:sz="4" w:space="0" w:color="000000"/>
              <w:right w:val="single" w:sz="4" w:space="0" w:color="000000"/>
            </w:tcBorders>
            <w:shd w:color="auto" w:fill="auto" w:val="clear"/>
            <w:vAlign w:val="bottom"/>
          </w:tcPr>
          <w:p>
            <w:pPr>
              <w:pStyle w:val="Normal"/>
              <w:widowControl w:val="false"/>
              <w:jc w:val="right"/>
              <w:rPr>
                <w:color w:val="000000"/>
              </w:rPr>
            </w:pPr>
            <w:r>
              <w:rPr>
                <w:color w:val="000000"/>
              </w:rPr>
              <w:t>1.334.914</w:t>
            </w:r>
          </w:p>
        </w:tc>
        <w:tc>
          <w:tcPr>
            <w:tcW w:w="2126" w:type="dxa"/>
            <w:tcBorders>
              <w:bottom w:val="single" w:sz="4" w:space="0" w:color="000000"/>
              <w:right w:val="single" w:sz="4" w:space="0" w:color="000000"/>
            </w:tcBorders>
            <w:shd w:color="auto" w:fill="auto" w:val="clear"/>
            <w:vAlign w:val="bottom"/>
          </w:tcPr>
          <w:p>
            <w:pPr>
              <w:pStyle w:val="Normal"/>
              <w:widowControl w:val="false"/>
              <w:jc w:val="right"/>
              <w:rPr>
                <w:color w:val="000000"/>
              </w:rPr>
            </w:pPr>
            <w:r>
              <w:rPr>
                <w:color w:val="000000"/>
              </w:rPr>
              <w:t>1.124.348</w:t>
            </w:r>
          </w:p>
        </w:tc>
        <w:tc>
          <w:tcPr>
            <w:tcW w:w="1134" w:type="dxa"/>
            <w:tcBorders>
              <w:bottom w:val="single" w:sz="4" w:space="0" w:color="000000"/>
              <w:right w:val="single" w:sz="4" w:space="0" w:color="000000"/>
            </w:tcBorders>
            <w:vAlign w:val="bottom"/>
          </w:tcPr>
          <w:p>
            <w:pPr>
              <w:pStyle w:val="Normal"/>
              <w:widowControl w:val="false"/>
              <w:jc w:val="right"/>
              <w:rPr>
                <w:color w:val="000000"/>
              </w:rPr>
            </w:pPr>
            <w:r>
              <w:rPr>
                <w:color w:val="000000"/>
              </w:rPr>
              <w:t>84,23 %</w:t>
            </w:r>
          </w:p>
        </w:tc>
      </w:tr>
      <w:tr>
        <w:trPr>
          <w:trHeight w:val="282" w:hRule="atLeast"/>
        </w:trPr>
        <w:tc>
          <w:tcPr>
            <w:tcW w:w="3983"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pPr>
            <w:r>
              <w:rPr>
                <w:b/>
              </w:rPr>
              <w:t>Program 1139:</w:t>
            </w:r>
            <w:r>
              <w:rPr/>
              <w:t xml:space="preserve"> OSTALE PROGRAMSKE AKTIVNOSTI OSNOVNIH ŠKOLA</w:t>
            </w:r>
          </w:p>
        </w:tc>
        <w:tc>
          <w:tcPr>
            <w:tcW w:w="1843" w:type="dxa"/>
            <w:tcBorders>
              <w:bottom w:val="single" w:sz="4" w:space="0" w:color="000000"/>
              <w:right w:val="single" w:sz="4" w:space="0" w:color="000000"/>
            </w:tcBorders>
            <w:shd w:color="auto" w:fill="auto" w:val="clear"/>
            <w:vAlign w:val="bottom"/>
          </w:tcPr>
          <w:p>
            <w:pPr>
              <w:pStyle w:val="Normal"/>
              <w:widowControl w:val="false"/>
              <w:jc w:val="right"/>
              <w:rPr>
                <w:color w:val="000000"/>
              </w:rPr>
            </w:pPr>
            <w:r>
              <w:rPr>
                <w:color w:val="000000"/>
              </w:rPr>
              <w:t>10.133.666</w:t>
            </w:r>
          </w:p>
        </w:tc>
        <w:tc>
          <w:tcPr>
            <w:tcW w:w="2126" w:type="dxa"/>
            <w:tcBorders>
              <w:bottom w:val="single" w:sz="4" w:space="0" w:color="000000"/>
              <w:right w:val="single" w:sz="4" w:space="0" w:color="000000"/>
            </w:tcBorders>
            <w:shd w:color="auto" w:fill="auto" w:val="clear"/>
            <w:vAlign w:val="bottom"/>
          </w:tcPr>
          <w:p>
            <w:pPr>
              <w:pStyle w:val="Normal"/>
              <w:widowControl w:val="false"/>
              <w:jc w:val="right"/>
              <w:rPr>
                <w:color w:val="000000"/>
              </w:rPr>
            </w:pPr>
            <w:r>
              <w:rPr>
                <w:color w:val="000000"/>
              </w:rPr>
              <w:t>9.169.096</w:t>
            </w:r>
          </w:p>
        </w:tc>
        <w:tc>
          <w:tcPr>
            <w:tcW w:w="1134" w:type="dxa"/>
            <w:tcBorders>
              <w:bottom w:val="single" w:sz="4" w:space="0" w:color="000000"/>
              <w:right w:val="single" w:sz="4" w:space="0" w:color="000000"/>
            </w:tcBorders>
            <w:vAlign w:val="bottom"/>
          </w:tcPr>
          <w:p>
            <w:pPr>
              <w:pStyle w:val="Normal"/>
              <w:widowControl w:val="false"/>
              <w:jc w:val="right"/>
              <w:rPr>
                <w:color w:val="000000"/>
              </w:rPr>
            </w:pPr>
            <w:r>
              <w:rPr>
                <w:color w:val="000000"/>
              </w:rPr>
              <w:t>90,48 %</w:t>
            </w:r>
          </w:p>
        </w:tc>
      </w:tr>
      <w:tr>
        <w:trPr>
          <w:trHeight w:val="282" w:hRule="atLeast"/>
        </w:trPr>
        <w:tc>
          <w:tcPr>
            <w:tcW w:w="3983"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b/>
                <w:b/>
                <w:color w:val="000000"/>
              </w:rPr>
            </w:pPr>
            <w:r>
              <w:rPr>
                <w:b/>
                <w:color w:val="000000"/>
              </w:rPr>
              <w:t>Ukupno:</w:t>
            </w:r>
          </w:p>
        </w:tc>
        <w:tc>
          <w:tcPr>
            <w:tcW w:w="1843" w:type="dxa"/>
            <w:tcBorders>
              <w:bottom w:val="single" w:sz="4" w:space="0" w:color="000000"/>
              <w:right w:val="single" w:sz="4" w:space="0" w:color="000000"/>
            </w:tcBorders>
            <w:shd w:color="auto" w:fill="auto" w:val="clear"/>
            <w:vAlign w:val="bottom"/>
          </w:tcPr>
          <w:p>
            <w:pPr>
              <w:pStyle w:val="Normal"/>
              <w:widowControl w:val="false"/>
              <w:jc w:val="right"/>
              <w:rPr>
                <w:b/>
                <w:b/>
                <w:color w:val="000000"/>
              </w:rPr>
            </w:pPr>
            <w:r>
              <w:rPr>
                <w:b/>
                <w:color w:val="000000"/>
              </w:rPr>
              <w:t>12.254.390</w:t>
            </w:r>
          </w:p>
        </w:tc>
        <w:tc>
          <w:tcPr>
            <w:tcW w:w="2126" w:type="dxa"/>
            <w:tcBorders>
              <w:bottom w:val="single" w:sz="4" w:space="0" w:color="000000"/>
              <w:right w:val="single" w:sz="4" w:space="0" w:color="000000"/>
            </w:tcBorders>
            <w:shd w:color="auto" w:fill="auto" w:val="clear"/>
            <w:vAlign w:val="bottom"/>
          </w:tcPr>
          <w:p>
            <w:pPr>
              <w:pStyle w:val="Normal"/>
              <w:widowControl w:val="false"/>
              <w:jc w:val="right"/>
              <w:rPr>
                <w:b/>
                <w:b/>
                <w:color w:val="000000"/>
              </w:rPr>
            </w:pPr>
            <w:r>
              <w:rPr>
                <w:b/>
                <w:color w:val="000000"/>
              </w:rPr>
              <w:t>10.998.392</w:t>
            </w:r>
          </w:p>
        </w:tc>
        <w:tc>
          <w:tcPr>
            <w:tcW w:w="1134" w:type="dxa"/>
            <w:tcBorders>
              <w:bottom w:val="single" w:sz="4" w:space="0" w:color="000000"/>
              <w:right w:val="single" w:sz="4" w:space="0" w:color="000000"/>
            </w:tcBorders>
            <w:vAlign w:val="bottom"/>
          </w:tcPr>
          <w:p>
            <w:pPr>
              <w:pStyle w:val="Normal"/>
              <w:widowControl w:val="false"/>
              <w:jc w:val="right"/>
              <w:rPr>
                <w:b/>
                <w:b/>
                <w:color w:val="000000"/>
              </w:rPr>
            </w:pPr>
            <w:r>
              <w:rPr>
                <w:b/>
                <w:color w:val="000000"/>
              </w:rPr>
              <w:t xml:space="preserve"> </w:t>
            </w:r>
            <w:r>
              <w:rPr>
                <w:b/>
                <w:color w:val="000000"/>
              </w:rPr>
              <w:t>89,75 %</w:t>
            </w:r>
          </w:p>
        </w:tc>
      </w:tr>
    </w:tbl>
    <w:p>
      <w:pPr>
        <w:pStyle w:val="Tijeloteksta"/>
        <w:rPr>
          <w:rFonts w:ascii="Times New Roman" w:hAnsi="Times New Roman"/>
        </w:rPr>
      </w:pPr>
      <w:r>
        <w:rPr>
          <w:rFonts w:ascii="Times New Roman" w:hAnsi="Times New Roman"/>
        </w:rPr>
      </w:r>
    </w:p>
    <w:p>
      <w:pPr>
        <w:pStyle w:val="Normal"/>
        <w:rPr>
          <w:b/>
          <w:b/>
        </w:rPr>
      </w:pPr>
      <w:r>
        <w:rPr>
          <w:b/>
        </w:rPr>
      </w:r>
    </w:p>
    <w:p>
      <w:pPr>
        <w:pStyle w:val="Normal"/>
        <w:rPr>
          <w:b/>
          <w:b/>
        </w:rPr>
      </w:pPr>
      <w:r>
        <w:rPr>
          <w:b/>
        </w:rPr>
      </w:r>
      <w:r>
        <w:br w:type="page"/>
      </w:r>
    </w:p>
    <w:p>
      <w:pPr>
        <w:pStyle w:val="Normal"/>
        <w:rPr>
          <w:b/>
          <w:b/>
        </w:rPr>
      </w:pPr>
      <w:r>
        <w:rPr>
          <w:b/>
        </w:rPr>
        <w:t xml:space="preserve">2. OBRAZLOŽENJE PROGRAMA </w:t>
      </w:r>
    </w:p>
    <w:p>
      <w:pPr>
        <w:pStyle w:val="ListParagraph"/>
        <w:spacing w:lineRule="auto" w:line="276"/>
        <w:ind w:left="0" w:hanging="0"/>
        <w:rPr/>
      </w:pPr>
      <w:r>
        <w:rPr/>
      </w:r>
    </w:p>
    <w:tbl>
      <w:tblPr>
        <w:tblW w:w="9654" w:type="dxa"/>
        <w:jc w:val="left"/>
        <w:tblInd w:w="93" w:type="dxa"/>
        <w:tblLayout w:type="fixed"/>
        <w:tblCellMar>
          <w:top w:w="0" w:type="dxa"/>
          <w:left w:w="108" w:type="dxa"/>
          <w:bottom w:w="0" w:type="dxa"/>
          <w:right w:w="108" w:type="dxa"/>
        </w:tblCellMar>
        <w:tblLook w:firstRow="1" w:noVBand="1" w:lastRow="0" w:firstColumn="1" w:lastColumn="0" w:noHBand="0" w:val="04a0"/>
      </w:tblPr>
      <w:tblGrid>
        <w:gridCol w:w="9654"/>
      </w:tblGrid>
      <w:tr>
        <w:trPr>
          <w:trHeight w:val="266" w:hRule="atLeast"/>
        </w:trPr>
        <w:tc>
          <w:tcPr>
            <w:tcW w:w="9654" w:type="dxa"/>
            <w:tcBorders>
              <w:top w:val="single" w:sz="4" w:space="0" w:color="000000"/>
              <w:left w:val="single" w:sz="4" w:space="0" w:color="000000"/>
              <w:bottom w:val="single" w:sz="4" w:space="0" w:color="000000"/>
              <w:right w:val="single" w:sz="4" w:space="0" w:color="000000"/>
            </w:tcBorders>
            <w:shd w:color="auto" w:fill="BFBFBF" w:val="clear"/>
          </w:tcPr>
          <w:p>
            <w:pPr>
              <w:pStyle w:val="Normal"/>
              <w:widowControl w:val="false"/>
              <w:rPr>
                <w:b/>
                <w:b/>
                <w:bCs/>
                <w:i/>
                <w:i/>
                <w:iCs/>
              </w:rPr>
            </w:pPr>
            <w:r>
              <w:rPr>
                <w:b/>
              </w:rPr>
              <w:t>PROGRAM 1137: PROGRAM ZAKONSKOG STANDARDA</w:t>
            </w:r>
          </w:p>
        </w:tc>
      </w:tr>
      <w:tr>
        <w:trPr>
          <w:trHeight w:val="576" w:hRule="atLeast"/>
        </w:trPr>
        <w:tc>
          <w:tcPr>
            <w:tcW w:w="9654"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color w:val="000000"/>
              </w:rPr>
            </w:pPr>
            <w:r>
              <w:rPr>
                <w:b/>
                <w:color w:val="000000"/>
              </w:rPr>
              <w:t>Opis programa</w:t>
            </w:r>
            <w:r>
              <w:rPr>
                <w:color w:val="000000"/>
              </w:rPr>
              <w:t>: ovim programom ostvarena su sredstva za financiranje osnovnih potreba osnovnog školstva. Program je financiran iz dva izvora: 1100 i 1200</w:t>
            </w:r>
          </w:p>
          <w:p>
            <w:pPr>
              <w:pStyle w:val="Normal"/>
              <w:widowControl w:val="false"/>
              <w:rPr>
                <w:color w:val="000000"/>
              </w:rPr>
            </w:pPr>
            <w:r>
              <w:rPr>
                <w:color w:val="000000"/>
              </w:rPr>
            </w:r>
          </w:p>
        </w:tc>
      </w:tr>
      <w:tr>
        <w:trPr>
          <w:trHeight w:val="584" w:hRule="atLeast"/>
        </w:trPr>
        <w:tc>
          <w:tcPr>
            <w:tcW w:w="9654"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both"/>
              <w:rPr/>
            </w:pPr>
            <w:r>
              <w:rPr>
                <w:b/>
              </w:rPr>
              <w:t>Opći cilj</w:t>
            </w:r>
            <w:r>
              <w:rPr/>
              <w:t>: omogućiti nesmetano i redovno provođenje nastavnih programa</w:t>
            </w:r>
          </w:p>
          <w:p>
            <w:pPr>
              <w:pStyle w:val="Normal"/>
              <w:widowControl w:val="false"/>
              <w:jc w:val="both"/>
              <w:rPr>
                <w:i/>
                <w:i/>
                <w:color w:val="000000"/>
              </w:rPr>
            </w:pPr>
            <w:r>
              <w:rPr>
                <w:b/>
              </w:rPr>
              <w:t>Posebni cilj</w:t>
            </w:r>
            <w:r>
              <w:rPr/>
              <w:t>: zadovoljiti nastale potrebe radi kvalitetnijeg školstva i povećati minimalni financijski standard osnovnog školstva</w:t>
            </w:r>
          </w:p>
        </w:tc>
      </w:tr>
    </w:tbl>
    <w:p>
      <w:pPr>
        <w:pStyle w:val="ListParagraph"/>
        <w:spacing w:lineRule="auto" w:line="276"/>
        <w:rPr>
          <w:b/>
          <w:b/>
        </w:rPr>
      </w:pPr>
      <w:r>
        <w:rPr>
          <w:b/>
        </w:rPr>
      </w:r>
    </w:p>
    <w:p>
      <w:pPr>
        <w:pStyle w:val="ListParagraph"/>
        <w:numPr>
          <w:ilvl w:val="0"/>
          <w:numId w:val="5"/>
        </w:numPr>
        <w:spacing w:lineRule="auto" w:line="276"/>
        <w:jc w:val="both"/>
        <w:rPr>
          <w:b/>
          <w:b/>
        </w:rPr>
      </w:pPr>
      <w:r>
        <w:rPr>
          <w:b/>
        </w:rPr>
        <w:t>Ostvarena financijska sredstava za aktivnosti unutar programa 1137 Program zakonskog standarda (u kunama):</w:t>
      </w:r>
    </w:p>
    <w:p>
      <w:pPr>
        <w:pStyle w:val="Normal"/>
        <w:rPr/>
      </w:pPr>
      <w:r>
        <w:rPr/>
      </w:r>
    </w:p>
    <w:tbl>
      <w:tblPr>
        <w:tblW w:w="9654" w:type="dxa"/>
        <w:jc w:val="left"/>
        <w:tblInd w:w="93" w:type="dxa"/>
        <w:tblLayout w:type="fixed"/>
        <w:tblCellMar>
          <w:top w:w="0" w:type="dxa"/>
          <w:left w:w="108" w:type="dxa"/>
          <w:bottom w:w="0" w:type="dxa"/>
          <w:right w:w="108" w:type="dxa"/>
        </w:tblCellMar>
        <w:tblLook w:firstRow="1" w:noVBand="1" w:lastRow="0" w:firstColumn="1" w:lastColumn="0" w:noHBand="0" w:val="04a0"/>
      </w:tblPr>
      <w:tblGrid>
        <w:gridCol w:w="3984"/>
        <w:gridCol w:w="1985"/>
        <w:gridCol w:w="2125"/>
        <w:gridCol w:w="1559"/>
      </w:tblGrid>
      <w:tr>
        <w:trPr>
          <w:trHeight w:val="591" w:hRule="atLeast"/>
        </w:trPr>
        <w:tc>
          <w:tcPr>
            <w:tcW w:w="3984"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b/>
                <w:b/>
                <w:color w:val="000000"/>
              </w:rPr>
            </w:pPr>
            <w:r>
              <w:rPr>
                <w:b/>
                <w:color w:val="000000"/>
              </w:rPr>
              <w:t>Naziv aktivnosti</w:t>
            </w:r>
          </w:p>
        </w:tc>
        <w:tc>
          <w:tcPr>
            <w:tcW w:w="1985" w:type="dxa"/>
            <w:tcBorders>
              <w:top w:val="single" w:sz="4" w:space="0" w:color="000000"/>
              <w:bottom w:val="single" w:sz="4" w:space="0" w:color="000000"/>
              <w:right w:val="single" w:sz="4" w:space="0" w:color="000000"/>
            </w:tcBorders>
            <w:shd w:color="auto" w:fill="auto" w:val="clear"/>
            <w:vAlign w:val="center"/>
          </w:tcPr>
          <w:p>
            <w:pPr>
              <w:pStyle w:val="Normal"/>
              <w:widowControl w:val="false"/>
              <w:jc w:val="center"/>
              <w:rPr>
                <w:b/>
                <w:b/>
                <w:color w:val="000000"/>
              </w:rPr>
            </w:pPr>
            <w:r>
              <w:rPr>
                <w:b/>
                <w:color w:val="000000"/>
              </w:rPr>
              <w:t>Plan</w:t>
            </w:r>
          </w:p>
          <w:p>
            <w:pPr>
              <w:pStyle w:val="Normal"/>
              <w:widowControl w:val="false"/>
              <w:jc w:val="center"/>
              <w:rPr>
                <w:b/>
                <w:b/>
                <w:color w:val="000000"/>
              </w:rPr>
            </w:pPr>
            <w:r>
              <w:rPr>
                <w:b/>
                <w:color w:val="000000"/>
              </w:rPr>
              <w:t>2022.</w:t>
            </w:r>
          </w:p>
        </w:tc>
        <w:tc>
          <w:tcPr>
            <w:tcW w:w="2125" w:type="dxa"/>
            <w:tcBorders>
              <w:top w:val="single" w:sz="4" w:space="0" w:color="000000"/>
              <w:bottom w:val="single" w:sz="4" w:space="0" w:color="000000"/>
              <w:right w:val="single" w:sz="4" w:space="0" w:color="000000"/>
            </w:tcBorders>
            <w:shd w:color="auto" w:fill="auto" w:val="clear"/>
            <w:vAlign w:val="center"/>
          </w:tcPr>
          <w:p>
            <w:pPr>
              <w:pStyle w:val="Normal"/>
              <w:widowControl w:val="false"/>
              <w:jc w:val="center"/>
              <w:rPr>
                <w:b/>
                <w:b/>
                <w:color w:val="000000"/>
              </w:rPr>
            </w:pPr>
            <w:r>
              <w:rPr>
                <w:b/>
                <w:color w:val="000000"/>
              </w:rPr>
              <w:t xml:space="preserve">Ostvareni rashodi </w:t>
            </w:r>
          </w:p>
          <w:p>
            <w:pPr>
              <w:pStyle w:val="Normal"/>
              <w:widowControl w:val="false"/>
              <w:jc w:val="center"/>
              <w:rPr>
                <w:b/>
                <w:b/>
                <w:color w:val="000000"/>
              </w:rPr>
            </w:pPr>
            <w:r>
              <w:rPr>
                <w:b/>
                <w:color w:val="000000"/>
              </w:rPr>
              <w:t>2022.</w:t>
            </w:r>
          </w:p>
        </w:tc>
        <w:tc>
          <w:tcPr>
            <w:tcW w:w="1559" w:type="dxa"/>
            <w:tcBorders>
              <w:top w:val="single" w:sz="4" w:space="0" w:color="000000"/>
              <w:bottom w:val="single" w:sz="4" w:space="0" w:color="000000"/>
              <w:right w:val="single" w:sz="4" w:space="0" w:color="000000"/>
            </w:tcBorders>
            <w:shd w:color="auto" w:fill="auto" w:val="clear"/>
            <w:vAlign w:val="center"/>
          </w:tcPr>
          <w:p>
            <w:pPr>
              <w:pStyle w:val="Normal"/>
              <w:widowControl w:val="false"/>
              <w:jc w:val="center"/>
              <w:rPr>
                <w:b/>
                <w:b/>
                <w:color w:val="000000"/>
              </w:rPr>
            </w:pPr>
            <w:r>
              <w:rPr>
                <w:b/>
                <w:color w:val="000000"/>
              </w:rPr>
              <w:t>Index</w:t>
            </w:r>
          </w:p>
        </w:tc>
      </w:tr>
      <w:tr>
        <w:trPr>
          <w:trHeight w:val="282" w:hRule="atLeast"/>
        </w:trPr>
        <w:tc>
          <w:tcPr>
            <w:tcW w:w="3984"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color w:val="000000"/>
              </w:rPr>
            </w:pPr>
            <w:r>
              <w:rPr>
                <w:b/>
                <w:color w:val="000000"/>
              </w:rPr>
              <w:t>Aktivnost  A113701:</w:t>
            </w:r>
            <w:r>
              <w:rPr>
                <w:color w:val="000000"/>
              </w:rPr>
              <w:t xml:space="preserve"> Programska djelatnost osnovnih škola grada</w:t>
            </w:r>
          </w:p>
        </w:tc>
        <w:tc>
          <w:tcPr>
            <w:tcW w:w="1985" w:type="dxa"/>
            <w:tcBorders>
              <w:bottom w:val="single" w:sz="4" w:space="0" w:color="000000"/>
              <w:right w:val="single" w:sz="4" w:space="0" w:color="000000"/>
            </w:tcBorders>
            <w:shd w:color="auto" w:fill="auto" w:val="clear"/>
            <w:vAlign w:val="bottom"/>
          </w:tcPr>
          <w:p>
            <w:pPr>
              <w:pStyle w:val="Normal"/>
              <w:widowControl w:val="false"/>
              <w:jc w:val="right"/>
              <w:rPr>
                <w:color w:val="000000"/>
              </w:rPr>
            </w:pPr>
            <w:r>
              <w:rPr>
                <w:color w:val="000000"/>
              </w:rPr>
              <w:t>759.810</w:t>
            </w:r>
          </w:p>
        </w:tc>
        <w:tc>
          <w:tcPr>
            <w:tcW w:w="2125" w:type="dxa"/>
            <w:tcBorders>
              <w:bottom w:val="single" w:sz="4" w:space="0" w:color="000000"/>
              <w:right w:val="single" w:sz="4" w:space="0" w:color="000000"/>
            </w:tcBorders>
            <w:shd w:color="auto" w:fill="auto" w:val="clear"/>
            <w:vAlign w:val="bottom"/>
          </w:tcPr>
          <w:p>
            <w:pPr>
              <w:pStyle w:val="Normal"/>
              <w:widowControl w:val="false"/>
              <w:jc w:val="right"/>
              <w:rPr>
                <w:color w:val="000000"/>
              </w:rPr>
            </w:pPr>
            <w:r>
              <w:rPr>
                <w:color w:val="000000"/>
              </w:rPr>
              <w:t>678.948</w:t>
            </w:r>
          </w:p>
        </w:tc>
        <w:tc>
          <w:tcPr>
            <w:tcW w:w="1559" w:type="dxa"/>
            <w:tcBorders>
              <w:bottom w:val="single" w:sz="4" w:space="0" w:color="000000"/>
              <w:right w:val="single" w:sz="4" w:space="0" w:color="000000"/>
            </w:tcBorders>
            <w:vAlign w:val="bottom"/>
          </w:tcPr>
          <w:p>
            <w:pPr>
              <w:pStyle w:val="Normal"/>
              <w:widowControl w:val="false"/>
              <w:jc w:val="right"/>
              <w:rPr>
                <w:color w:val="000000"/>
              </w:rPr>
            </w:pPr>
            <w:r>
              <w:rPr>
                <w:color w:val="000000"/>
              </w:rPr>
              <w:t>89,35%</w:t>
            </w:r>
          </w:p>
        </w:tc>
      </w:tr>
      <w:tr>
        <w:trPr>
          <w:trHeight w:val="282" w:hRule="atLeast"/>
        </w:trPr>
        <w:tc>
          <w:tcPr>
            <w:tcW w:w="3984"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color w:val="000000"/>
              </w:rPr>
            </w:pPr>
            <w:r>
              <w:rPr>
                <w:b/>
                <w:color w:val="000000"/>
              </w:rPr>
              <w:t>Aktivnost K113703:</w:t>
            </w:r>
            <w:r>
              <w:rPr>
                <w:color w:val="000000"/>
              </w:rPr>
              <w:t xml:space="preserve"> Ulaganja na nefinancijskoj imovini osnovnih škola </w:t>
            </w:r>
          </w:p>
        </w:tc>
        <w:tc>
          <w:tcPr>
            <w:tcW w:w="1985" w:type="dxa"/>
            <w:tcBorders>
              <w:bottom w:val="single" w:sz="4" w:space="0" w:color="000000"/>
              <w:right w:val="single" w:sz="4" w:space="0" w:color="000000"/>
            </w:tcBorders>
            <w:shd w:color="auto" w:fill="auto" w:val="clear"/>
            <w:vAlign w:val="bottom"/>
          </w:tcPr>
          <w:p>
            <w:pPr>
              <w:pStyle w:val="Normal"/>
              <w:widowControl w:val="false"/>
              <w:jc w:val="right"/>
              <w:rPr>
                <w:color w:val="000000"/>
              </w:rPr>
            </w:pPr>
            <w:r>
              <w:rPr>
                <w:color w:val="000000"/>
              </w:rPr>
              <w:t>26.000</w:t>
            </w:r>
          </w:p>
        </w:tc>
        <w:tc>
          <w:tcPr>
            <w:tcW w:w="2125" w:type="dxa"/>
            <w:tcBorders>
              <w:bottom w:val="single" w:sz="4" w:space="0" w:color="000000"/>
              <w:right w:val="single" w:sz="4" w:space="0" w:color="000000"/>
            </w:tcBorders>
            <w:shd w:color="auto" w:fill="auto" w:val="clear"/>
            <w:vAlign w:val="bottom"/>
          </w:tcPr>
          <w:p>
            <w:pPr>
              <w:pStyle w:val="Normal"/>
              <w:widowControl w:val="false"/>
              <w:jc w:val="right"/>
              <w:rPr>
                <w:color w:val="000000"/>
              </w:rPr>
            </w:pPr>
            <w:r>
              <w:rPr>
                <w:color w:val="000000"/>
              </w:rPr>
              <w:t>26.000</w:t>
            </w:r>
          </w:p>
        </w:tc>
        <w:tc>
          <w:tcPr>
            <w:tcW w:w="1559" w:type="dxa"/>
            <w:tcBorders>
              <w:bottom w:val="single" w:sz="4" w:space="0" w:color="000000"/>
              <w:right w:val="single" w:sz="4" w:space="0" w:color="000000"/>
            </w:tcBorders>
            <w:vAlign w:val="bottom"/>
          </w:tcPr>
          <w:p>
            <w:pPr>
              <w:pStyle w:val="Normal"/>
              <w:widowControl w:val="false"/>
              <w:jc w:val="right"/>
              <w:rPr>
                <w:color w:val="000000"/>
              </w:rPr>
            </w:pPr>
            <w:r>
              <w:rPr>
                <w:color w:val="000000"/>
              </w:rPr>
              <w:t>100,00 %</w:t>
            </w:r>
          </w:p>
        </w:tc>
      </w:tr>
      <w:tr>
        <w:trPr>
          <w:trHeight w:val="282" w:hRule="atLeast"/>
        </w:trPr>
        <w:tc>
          <w:tcPr>
            <w:tcW w:w="3984"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b/>
                <w:b/>
                <w:color w:val="000000"/>
              </w:rPr>
            </w:pPr>
            <w:r>
              <w:rPr>
                <w:b/>
                <w:color w:val="000000"/>
              </w:rPr>
              <w:t>Ukupno program:</w:t>
            </w:r>
          </w:p>
        </w:tc>
        <w:tc>
          <w:tcPr>
            <w:tcW w:w="1985" w:type="dxa"/>
            <w:tcBorders>
              <w:bottom w:val="single" w:sz="4" w:space="0" w:color="000000"/>
              <w:right w:val="single" w:sz="4" w:space="0" w:color="000000"/>
            </w:tcBorders>
            <w:shd w:color="auto" w:fill="auto" w:val="clear"/>
            <w:vAlign w:val="bottom"/>
          </w:tcPr>
          <w:p>
            <w:pPr>
              <w:pStyle w:val="Normal"/>
              <w:widowControl w:val="false"/>
              <w:jc w:val="right"/>
              <w:rPr>
                <w:b/>
                <w:b/>
                <w:color w:val="000000"/>
              </w:rPr>
            </w:pPr>
            <w:r>
              <w:rPr>
                <w:b/>
                <w:color w:val="000000"/>
              </w:rPr>
              <w:t>785.810</w:t>
            </w:r>
          </w:p>
        </w:tc>
        <w:tc>
          <w:tcPr>
            <w:tcW w:w="2125" w:type="dxa"/>
            <w:tcBorders>
              <w:bottom w:val="single" w:sz="4" w:space="0" w:color="000000"/>
              <w:right w:val="single" w:sz="4" w:space="0" w:color="000000"/>
            </w:tcBorders>
            <w:shd w:color="auto" w:fill="auto" w:val="clear"/>
            <w:vAlign w:val="bottom"/>
          </w:tcPr>
          <w:p>
            <w:pPr>
              <w:pStyle w:val="Normal"/>
              <w:widowControl w:val="false"/>
              <w:jc w:val="right"/>
              <w:rPr>
                <w:b/>
                <w:b/>
                <w:color w:val="000000"/>
              </w:rPr>
            </w:pPr>
            <w:r>
              <w:rPr>
                <w:b/>
                <w:color w:val="000000"/>
              </w:rPr>
              <w:t>704.948</w:t>
            </w:r>
          </w:p>
        </w:tc>
        <w:tc>
          <w:tcPr>
            <w:tcW w:w="1559" w:type="dxa"/>
            <w:tcBorders>
              <w:bottom w:val="single" w:sz="4" w:space="0" w:color="000000"/>
              <w:right w:val="single" w:sz="4" w:space="0" w:color="000000"/>
            </w:tcBorders>
            <w:vAlign w:val="bottom"/>
          </w:tcPr>
          <w:p>
            <w:pPr>
              <w:pStyle w:val="Normal"/>
              <w:widowControl w:val="false"/>
              <w:jc w:val="right"/>
              <w:rPr>
                <w:b/>
                <w:b/>
                <w:color w:val="000000"/>
              </w:rPr>
            </w:pPr>
            <w:r>
              <w:rPr>
                <w:b/>
                <w:color w:val="000000"/>
              </w:rPr>
              <w:t>89,70 %</w:t>
            </w:r>
          </w:p>
        </w:tc>
      </w:tr>
    </w:tbl>
    <w:p>
      <w:pPr>
        <w:pStyle w:val="Normal"/>
        <w:rPr>
          <w:b/>
          <w:b/>
        </w:rPr>
      </w:pPr>
      <w:r>
        <w:rPr>
          <w:b/>
        </w:rPr>
      </w:r>
    </w:p>
    <w:p>
      <w:pPr>
        <w:pStyle w:val="Normal"/>
        <w:numPr>
          <w:ilvl w:val="0"/>
          <w:numId w:val="5"/>
        </w:numPr>
        <w:tabs>
          <w:tab w:val="clear" w:pos="708"/>
          <w:tab w:val="left" w:pos="900" w:leader="none"/>
        </w:tabs>
        <w:jc w:val="both"/>
        <w:rPr>
          <w:b/>
          <w:b/>
        </w:rPr>
      </w:pPr>
      <w:r>
        <w:rPr>
          <w:b/>
        </w:rPr>
        <w:t>Obrazloženje za aktivnosti unutar programa 1137 Program zakonskog standarda</w:t>
      </w:r>
    </w:p>
    <w:p>
      <w:pPr>
        <w:pStyle w:val="Normal"/>
        <w:tabs>
          <w:tab w:val="clear" w:pos="708"/>
          <w:tab w:val="left" w:pos="900" w:leader="none"/>
        </w:tabs>
        <w:rPr>
          <w:b/>
          <w:b/>
        </w:rPr>
      </w:pPr>
      <w:r>
        <w:rPr>
          <w:b/>
        </w:rPr>
      </w:r>
    </w:p>
    <w:tbl>
      <w:tblPr>
        <w:tblW w:w="9654" w:type="dxa"/>
        <w:jc w:val="left"/>
        <w:tblInd w:w="93" w:type="dxa"/>
        <w:tblLayout w:type="fixed"/>
        <w:tblCellMar>
          <w:top w:w="0" w:type="dxa"/>
          <w:left w:w="108" w:type="dxa"/>
          <w:bottom w:w="0" w:type="dxa"/>
          <w:right w:w="108" w:type="dxa"/>
        </w:tblCellMar>
        <w:tblLook w:firstRow="1" w:noVBand="1" w:lastRow="0" w:firstColumn="1" w:lastColumn="0" w:noHBand="0" w:val="04a0"/>
      </w:tblPr>
      <w:tblGrid>
        <w:gridCol w:w="9654"/>
      </w:tblGrid>
      <w:tr>
        <w:trPr>
          <w:trHeight w:val="340" w:hRule="atLeast"/>
        </w:trPr>
        <w:tc>
          <w:tcPr>
            <w:tcW w:w="9654" w:type="dxa"/>
            <w:tcBorders>
              <w:top w:val="single" w:sz="4" w:space="0" w:color="000000"/>
              <w:left w:val="single" w:sz="4" w:space="0" w:color="000000"/>
              <w:bottom w:val="single" w:sz="4" w:space="0" w:color="000000"/>
              <w:right w:val="single" w:sz="4" w:space="0" w:color="000000"/>
            </w:tcBorders>
          </w:tcPr>
          <w:p>
            <w:pPr>
              <w:pStyle w:val="Normal"/>
              <w:widowControl w:val="false"/>
              <w:rPr>
                <w:b/>
                <w:b/>
                <w:color w:val="000000"/>
              </w:rPr>
            </w:pPr>
            <w:r>
              <w:rPr>
                <w:b/>
                <w:color w:val="000000"/>
              </w:rPr>
              <w:t>Aktivnost  A113701: Programska djelatnost osnovnih škola grada</w:t>
            </w:r>
          </w:p>
        </w:tc>
      </w:tr>
      <w:tr>
        <w:trPr>
          <w:trHeight w:val="340" w:hRule="atLeast"/>
        </w:trPr>
        <w:tc>
          <w:tcPr>
            <w:tcW w:w="9654" w:type="dxa"/>
            <w:tcBorders>
              <w:top w:val="single" w:sz="4" w:space="0" w:color="000000"/>
              <w:left w:val="single" w:sz="4" w:space="0" w:color="000000"/>
              <w:bottom w:val="single" w:sz="4" w:space="0" w:color="000000"/>
              <w:right w:val="single" w:sz="4" w:space="0" w:color="000000"/>
            </w:tcBorders>
          </w:tcPr>
          <w:p>
            <w:pPr>
              <w:pStyle w:val="Doc"/>
              <w:widowControl w:val="false"/>
              <w:spacing w:lineRule="auto" w:line="240" w:before="0" w:after="0"/>
              <w:ind w:firstLine="708"/>
              <w:jc w:val="left"/>
              <w:rPr>
                <w:rFonts w:ascii="Times New Roman" w:hAnsi="Times New Roman" w:cs="Times New Roman"/>
              </w:rPr>
            </w:pPr>
            <w:r>
              <w:rPr>
                <w:rFonts w:cs="Times New Roman" w:ascii="Times New Roman" w:hAnsi="Times New Roman"/>
                <w:color w:val="000000"/>
              </w:rPr>
              <w:t xml:space="preserve">Njome je nadležni proračun osigurao potrebna sredstva za materijalne i financijske rashode škole.         </w:t>
            </w:r>
          </w:p>
          <w:p>
            <w:pPr>
              <w:pStyle w:val="Normal"/>
              <w:widowControl w:val="false"/>
              <w:rPr>
                <w:color w:val="000000"/>
                <w:sz w:val="20"/>
                <w:szCs w:val="20"/>
              </w:rPr>
            </w:pPr>
            <w:r>
              <w:rPr>
                <w:sz w:val="20"/>
                <w:szCs w:val="20"/>
              </w:rPr>
              <w:t>Osnovna škola Podmurvice nije zaprimila račune za plin za 11. i 12. mjesec 2022. godine stoga su ostvareni rashodi smanjeni u odnosu na plan 2022. godine.</w:t>
            </w:r>
          </w:p>
        </w:tc>
      </w:tr>
      <w:tr>
        <w:trPr>
          <w:trHeight w:val="340" w:hRule="atLeast"/>
        </w:trPr>
        <w:tc>
          <w:tcPr>
            <w:tcW w:w="9654" w:type="dxa"/>
            <w:tcBorders>
              <w:top w:val="single" w:sz="4" w:space="0" w:color="000000"/>
              <w:left w:val="single" w:sz="4" w:space="0" w:color="000000"/>
              <w:bottom w:val="single" w:sz="4" w:space="0" w:color="000000"/>
              <w:right w:val="single" w:sz="4" w:space="0" w:color="000000"/>
            </w:tcBorders>
          </w:tcPr>
          <w:p>
            <w:pPr>
              <w:pStyle w:val="Normal"/>
              <w:widowControl w:val="false"/>
              <w:rPr>
                <w:b/>
                <w:b/>
                <w:color w:val="000000"/>
              </w:rPr>
            </w:pPr>
            <w:r>
              <w:rPr>
                <w:b/>
                <w:color w:val="000000"/>
              </w:rPr>
              <w:t>Aktivnost K113703: Ulaganja na nefinancijskoj imovini osnovnih škola</w:t>
            </w:r>
          </w:p>
        </w:tc>
      </w:tr>
      <w:tr>
        <w:trPr>
          <w:trHeight w:val="340" w:hRule="atLeast"/>
        </w:trPr>
        <w:tc>
          <w:tcPr>
            <w:tcW w:w="9654" w:type="dxa"/>
            <w:tcBorders>
              <w:top w:val="single" w:sz="4" w:space="0" w:color="000000"/>
              <w:left w:val="single" w:sz="4" w:space="0" w:color="000000"/>
              <w:bottom w:val="single" w:sz="4" w:space="0" w:color="000000"/>
              <w:right w:val="single" w:sz="4" w:space="0" w:color="000000"/>
            </w:tcBorders>
          </w:tcPr>
          <w:p>
            <w:pPr>
              <w:pStyle w:val="Normal"/>
              <w:widowControl w:val="false"/>
              <w:numPr>
                <w:ilvl w:val="0"/>
                <w:numId w:val="6"/>
              </w:numPr>
              <w:ind w:left="616" w:hanging="283"/>
              <w:rPr>
                <w:color w:val="000000"/>
              </w:rPr>
            </w:pPr>
            <w:r>
              <w:rPr>
                <w:color w:val="000000"/>
              </w:rPr>
              <w:t>Nabavljena je potrebna oprema za školu u svrhu modernizacije i kvalitetnijeg provođenja nastave. Ostvareni rashodi u skladu su s planiranim sredstvima.</w:t>
            </w:r>
          </w:p>
        </w:tc>
      </w:tr>
    </w:tbl>
    <w:p>
      <w:pPr>
        <w:pStyle w:val="Normal"/>
        <w:rPr/>
      </w:pPr>
      <w:r>
        <w:rPr/>
      </w:r>
    </w:p>
    <w:p>
      <w:pPr>
        <w:pStyle w:val="Normal"/>
        <w:numPr>
          <w:ilvl w:val="0"/>
          <w:numId w:val="5"/>
        </w:numPr>
        <w:jc w:val="both"/>
        <w:rPr>
          <w:b/>
          <w:b/>
        </w:rPr>
      </w:pPr>
      <w:r>
        <w:rPr>
          <w:b/>
        </w:rPr>
        <w:t>Pokazatelji rezultata na razini aktivnosti unutar programa 1137 Program zakonskog standarda</w:t>
      </w:r>
    </w:p>
    <w:p>
      <w:pPr>
        <w:pStyle w:val="Normal"/>
        <w:rPr>
          <w:b/>
          <w:b/>
        </w:rPr>
      </w:pPr>
      <w:r>
        <w:rPr>
          <w:b/>
        </w:rPr>
      </w:r>
    </w:p>
    <w:tbl>
      <w:tblPr>
        <w:tblW w:w="9654" w:type="dxa"/>
        <w:jc w:val="left"/>
        <w:tblInd w:w="93" w:type="dxa"/>
        <w:tblLayout w:type="fixed"/>
        <w:tblCellMar>
          <w:top w:w="0" w:type="dxa"/>
          <w:left w:w="108" w:type="dxa"/>
          <w:bottom w:w="0" w:type="dxa"/>
          <w:right w:w="108" w:type="dxa"/>
        </w:tblCellMar>
        <w:tblLook w:firstRow="1" w:noVBand="1" w:lastRow="0" w:firstColumn="1" w:lastColumn="0" w:noHBand="0" w:val="04a0"/>
      </w:tblPr>
      <w:tblGrid>
        <w:gridCol w:w="2000"/>
        <w:gridCol w:w="2126"/>
        <w:gridCol w:w="991"/>
        <w:gridCol w:w="1560"/>
        <w:gridCol w:w="1417"/>
        <w:gridCol w:w="1559"/>
      </w:tblGrid>
      <w:tr>
        <w:trPr>
          <w:trHeight w:val="564" w:hRule="atLeast"/>
        </w:trPr>
        <w:tc>
          <w:tcPr>
            <w:tcW w:w="200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b/>
                <w:b/>
                <w:color w:val="000000"/>
                <w:sz w:val="20"/>
                <w:szCs w:val="20"/>
              </w:rPr>
            </w:pPr>
            <w:r>
              <w:rPr>
                <w:b/>
                <w:color w:val="000000"/>
                <w:sz w:val="20"/>
                <w:szCs w:val="20"/>
              </w:rPr>
              <w:t>Pokazatelj</w:t>
            </w:r>
          </w:p>
          <w:p>
            <w:pPr>
              <w:pStyle w:val="Normal"/>
              <w:widowControl w:val="false"/>
              <w:jc w:val="center"/>
              <w:rPr>
                <w:b/>
                <w:b/>
                <w:color w:val="000000"/>
                <w:sz w:val="20"/>
                <w:szCs w:val="20"/>
              </w:rPr>
            </w:pPr>
            <w:r>
              <w:rPr>
                <w:b/>
                <w:color w:val="000000"/>
                <w:sz w:val="20"/>
                <w:szCs w:val="20"/>
              </w:rPr>
              <w:t>rezultata</w:t>
            </w:r>
          </w:p>
        </w:tc>
        <w:tc>
          <w:tcPr>
            <w:tcW w:w="2126" w:type="dxa"/>
            <w:tcBorders>
              <w:top w:val="single" w:sz="4" w:space="0" w:color="000000"/>
              <w:bottom w:val="single" w:sz="4" w:space="0" w:color="000000"/>
              <w:right w:val="single" w:sz="4" w:space="0" w:color="000000"/>
            </w:tcBorders>
            <w:shd w:color="auto" w:fill="auto" w:val="clear"/>
            <w:vAlign w:val="center"/>
          </w:tcPr>
          <w:p>
            <w:pPr>
              <w:pStyle w:val="Normal"/>
              <w:widowControl w:val="false"/>
              <w:jc w:val="center"/>
              <w:rPr>
                <w:b/>
                <w:b/>
                <w:color w:val="000000"/>
                <w:sz w:val="20"/>
                <w:szCs w:val="20"/>
              </w:rPr>
            </w:pPr>
            <w:r>
              <w:rPr>
                <w:b/>
                <w:color w:val="000000"/>
                <w:sz w:val="20"/>
                <w:szCs w:val="20"/>
              </w:rPr>
              <w:t>Definicija pokazatelja</w:t>
            </w:r>
          </w:p>
        </w:tc>
        <w:tc>
          <w:tcPr>
            <w:tcW w:w="991" w:type="dxa"/>
            <w:tcBorders>
              <w:top w:val="single" w:sz="4" w:space="0" w:color="000000"/>
              <w:bottom w:val="single" w:sz="4" w:space="0" w:color="000000"/>
              <w:right w:val="single" w:sz="4" w:space="0" w:color="000000"/>
            </w:tcBorders>
            <w:shd w:color="auto" w:fill="auto" w:val="clear"/>
            <w:vAlign w:val="center"/>
          </w:tcPr>
          <w:p>
            <w:pPr>
              <w:pStyle w:val="Normal"/>
              <w:widowControl w:val="false"/>
              <w:jc w:val="center"/>
              <w:rPr>
                <w:b/>
                <w:b/>
                <w:color w:val="000000"/>
                <w:sz w:val="20"/>
                <w:szCs w:val="20"/>
              </w:rPr>
            </w:pPr>
            <w:r>
              <w:rPr>
                <w:b/>
                <w:color w:val="000000"/>
                <w:sz w:val="20"/>
                <w:szCs w:val="20"/>
              </w:rPr>
              <w:t>Jedinica</w:t>
            </w:r>
          </w:p>
        </w:tc>
        <w:tc>
          <w:tcPr>
            <w:tcW w:w="156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b/>
                <w:b/>
                <w:color w:val="000000"/>
                <w:sz w:val="20"/>
                <w:szCs w:val="20"/>
              </w:rPr>
            </w:pPr>
            <w:r>
              <w:rPr>
                <w:b/>
                <w:color w:val="000000"/>
                <w:sz w:val="20"/>
                <w:szCs w:val="20"/>
              </w:rPr>
              <w:t>Polazna vrijednost 2021.</w:t>
            </w:r>
          </w:p>
        </w:tc>
        <w:tc>
          <w:tcPr>
            <w:tcW w:w="1417" w:type="dxa"/>
            <w:tcBorders>
              <w:top w:val="single" w:sz="4" w:space="0" w:color="000000"/>
              <w:bottom w:val="single" w:sz="4" w:space="0" w:color="000000"/>
              <w:right w:val="single" w:sz="4" w:space="0" w:color="000000"/>
            </w:tcBorders>
            <w:shd w:color="auto" w:fill="auto" w:val="clear"/>
            <w:vAlign w:val="center"/>
          </w:tcPr>
          <w:p>
            <w:pPr>
              <w:pStyle w:val="Normal"/>
              <w:widowControl w:val="false"/>
              <w:jc w:val="center"/>
              <w:rPr>
                <w:b/>
                <w:b/>
                <w:color w:val="000000"/>
                <w:sz w:val="20"/>
                <w:szCs w:val="20"/>
              </w:rPr>
            </w:pPr>
            <w:r>
              <w:rPr>
                <w:b/>
                <w:color w:val="000000"/>
                <w:sz w:val="20"/>
                <w:szCs w:val="20"/>
              </w:rPr>
              <w:t>Ciljana vrijednost</w:t>
            </w:r>
          </w:p>
          <w:p>
            <w:pPr>
              <w:pStyle w:val="Normal"/>
              <w:widowControl w:val="false"/>
              <w:jc w:val="center"/>
              <w:rPr>
                <w:b/>
                <w:b/>
                <w:color w:val="000000"/>
                <w:sz w:val="20"/>
                <w:szCs w:val="20"/>
              </w:rPr>
            </w:pPr>
            <w:r>
              <w:rPr>
                <w:b/>
                <w:color w:val="000000"/>
                <w:sz w:val="20"/>
                <w:szCs w:val="20"/>
              </w:rPr>
              <w:t>2022.</w:t>
            </w:r>
          </w:p>
        </w:tc>
        <w:tc>
          <w:tcPr>
            <w:tcW w:w="1559" w:type="dxa"/>
            <w:tcBorders>
              <w:top w:val="single" w:sz="4" w:space="0" w:color="000000"/>
              <w:bottom w:val="single" w:sz="4" w:space="0" w:color="000000"/>
              <w:right w:val="single" w:sz="4" w:space="0" w:color="000000"/>
            </w:tcBorders>
            <w:shd w:color="auto" w:fill="auto" w:val="clear"/>
            <w:vAlign w:val="center"/>
          </w:tcPr>
          <w:p>
            <w:pPr>
              <w:pStyle w:val="Normal"/>
              <w:widowControl w:val="false"/>
              <w:jc w:val="center"/>
              <w:rPr>
                <w:b/>
                <w:b/>
                <w:color w:val="000000"/>
                <w:sz w:val="20"/>
                <w:szCs w:val="20"/>
              </w:rPr>
            </w:pPr>
            <w:r>
              <w:rPr>
                <w:b/>
                <w:color w:val="000000"/>
                <w:sz w:val="20"/>
                <w:szCs w:val="20"/>
              </w:rPr>
              <w:t>Ostvarena vrijednost</w:t>
            </w:r>
          </w:p>
          <w:p>
            <w:pPr>
              <w:pStyle w:val="Normal"/>
              <w:widowControl w:val="false"/>
              <w:jc w:val="center"/>
              <w:rPr>
                <w:b/>
                <w:b/>
                <w:color w:val="000000"/>
                <w:sz w:val="20"/>
                <w:szCs w:val="20"/>
              </w:rPr>
            </w:pPr>
            <w:r>
              <w:rPr>
                <w:b/>
                <w:color w:val="000000"/>
                <w:sz w:val="20"/>
                <w:szCs w:val="20"/>
              </w:rPr>
              <w:t>2022.</w:t>
            </w:r>
          </w:p>
        </w:tc>
      </w:tr>
      <w:tr>
        <w:trPr>
          <w:trHeight w:val="564" w:hRule="atLeast"/>
        </w:trPr>
        <w:tc>
          <w:tcPr>
            <w:tcW w:w="200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rPr>
                <w:b/>
                <w:b/>
                <w:color w:val="000000"/>
                <w:sz w:val="20"/>
                <w:szCs w:val="20"/>
              </w:rPr>
            </w:pPr>
            <w:r>
              <w:rPr>
                <w:b/>
                <w:color w:val="000000"/>
                <w:sz w:val="20"/>
                <w:szCs w:val="20"/>
              </w:rPr>
              <w:t xml:space="preserve">A113701 </w:t>
            </w:r>
          </w:p>
          <w:p>
            <w:pPr>
              <w:pStyle w:val="Normal"/>
              <w:widowControl w:val="false"/>
              <w:rPr>
                <w:b/>
                <w:b/>
                <w:color w:val="000000"/>
                <w:sz w:val="20"/>
                <w:szCs w:val="20"/>
              </w:rPr>
            </w:pPr>
            <w:r>
              <w:rPr>
                <w:color w:val="000000"/>
                <w:sz w:val="20"/>
                <w:szCs w:val="20"/>
              </w:rPr>
              <w:t>- zadovoljavanje osnovnih potreba škole</w:t>
            </w:r>
          </w:p>
        </w:tc>
        <w:tc>
          <w:tcPr>
            <w:tcW w:w="2126" w:type="dxa"/>
            <w:tcBorders>
              <w:top w:val="single" w:sz="4" w:space="0" w:color="000000"/>
              <w:bottom w:val="single" w:sz="4" w:space="0" w:color="000000"/>
              <w:right w:val="single" w:sz="4" w:space="0" w:color="000000"/>
            </w:tcBorders>
            <w:shd w:color="auto" w:fill="auto" w:val="clear"/>
            <w:vAlign w:val="center"/>
          </w:tcPr>
          <w:p>
            <w:pPr>
              <w:pStyle w:val="Normal"/>
              <w:widowControl w:val="false"/>
              <w:rPr>
                <w:color w:val="000000"/>
                <w:sz w:val="20"/>
                <w:szCs w:val="20"/>
              </w:rPr>
            </w:pPr>
            <w:r>
              <w:rPr>
                <w:color w:val="000000"/>
                <w:sz w:val="20"/>
                <w:szCs w:val="20"/>
              </w:rPr>
              <w:t>Osigurava Ministarstvo fin standarda</w:t>
            </w:r>
          </w:p>
        </w:tc>
        <w:tc>
          <w:tcPr>
            <w:tcW w:w="991" w:type="dxa"/>
            <w:tcBorders>
              <w:top w:val="single" w:sz="4" w:space="0" w:color="000000"/>
              <w:bottom w:val="single" w:sz="4" w:space="0" w:color="000000"/>
              <w:right w:val="single" w:sz="4" w:space="0" w:color="000000"/>
            </w:tcBorders>
            <w:shd w:color="auto" w:fill="auto" w:val="clear"/>
            <w:vAlign w:val="center"/>
          </w:tcPr>
          <w:p>
            <w:pPr>
              <w:pStyle w:val="Normal"/>
              <w:widowControl w:val="false"/>
              <w:jc w:val="center"/>
              <w:rPr>
                <w:color w:val="000000"/>
                <w:sz w:val="20"/>
                <w:szCs w:val="20"/>
              </w:rPr>
            </w:pPr>
            <w:r>
              <w:rPr>
                <w:color w:val="000000"/>
                <w:sz w:val="20"/>
                <w:szCs w:val="20"/>
              </w:rPr>
              <w:t>postotak</w:t>
            </w:r>
          </w:p>
        </w:tc>
        <w:tc>
          <w:tcPr>
            <w:tcW w:w="156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color w:val="000000"/>
                <w:sz w:val="20"/>
                <w:szCs w:val="20"/>
              </w:rPr>
            </w:pPr>
            <w:r>
              <w:rPr>
                <w:color w:val="000000"/>
                <w:sz w:val="20"/>
                <w:szCs w:val="20"/>
              </w:rPr>
              <w:t>100 %</w:t>
            </w:r>
          </w:p>
        </w:tc>
        <w:tc>
          <w:tcPr>
            <w:tcW w:w="1417" w:type="dxa"/>
            <w:tcBorders>
              <w:top w:val="single" w:sz="4" w:space="0" w:color="000000"/>
              <w:bottom w:val="single" w:sz="4" w:space="0" w:color="000000"/>
              <w:right w:val="single" w:sz="4" w:space="0" w:color="000000"/>
            </w:tcBorders>
            <w:shd w:color="auto" w:fill="auto" w:val="clear"/>
            <w:vAlign w:val="center"/>
          </w:tcPr>
          <w:p>
            <w:pPr>
              <w:pStyle w:val="Normal"/>
              <w:widowControl w:val="false"/>
              <w:jc w:val="center"/>
              <w:rPr>
                <w:color w:val="000000"/>
                <w:sz w:val="20"/>
                <w:szCs w:val="20"/>
              </w:rPr>
            </w:pPr>
            <w:r>
              <w:rPr>
                <w:color w:val="000000"/>
                <w:sz w:val="20"/>
                <w:szCs w:val="20"/>
              </w:rPr>
              <w:t>129,74 %</w:t>
            </w:r>
          </w:p>
        </w:tc>
        <w:tc>
          <w:tcPr>
            <w:tcW w:w="1559" w:type="dxa"/>
            <w:tcBorders>
              <w:top w:val="single" w:sz="4" w:space="0" w:color="000000"/>
              <w:bottom w:val="single" w:sz="4" w:space="0" w:color="000000"/>
              <w:right w:val="single" w:sz="4" w:space="0" w:color="000000"/>
            </w:tcBorders>
            <w:shd w:color="auto" w:fill="auto" w:val="clear"/>
            <w:vAlign w:val="center"/>
          </w:tcPr>
          <w:p>
            <w:pPr>
              <w:pStyle w:val="Normal"/>
              <w:widowControl w:val="false"/>
              <w:jc w:val="center"/>
              <w:rPr>
                <w:sz w:val="20"/>
                <w:szCs w:val="20"/>
              </w:rPr>
            </w:pPr>
            <w:r>
              <w:rPr>
                <w:sz w:val="20"/>
                <w:szCs w:val="20"/>
              </w:rPr>
              <w:t>85,14 %</w:t>
            </w:r>
          </w:p>
        </w:tc>
      </w:tr>
      <w:tr>
        <w:trPr>
          <w:trHeight w:val="564" w:hRule="atLeast"/>
        </w:trPr>
        <w:tc>
          <w:tcPr>
            <w:tcW w:w="200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rPr>
                <w:b/>
                <w:b/>
                <w:color w:val="000000"/>
                <w:sz w:val="20"/>
                <w:szCs w:val="20"/>
              </w:rPr>
            </w:pPr>
            <w:r>
              <w:rPr>
                <w:b/>
                <w:color w:val="000000"/>
                <w:sz w:val="20"/>
                <w:szCs w:val="20"/>
              </w:rPr>
              <w:t>A113703</w:t>
            </w:r>
          </w:p>
          <w:p>
            <w:pPr>
              <w:pStyle w:val="Normal"/>
              <w:widowControl w:val="false"/>
              <w:rPr>
                <w:color w:val="000000"/>
                <w:sz w:val="20"/>
                <w:szCs w:val="20"/>
              </w:rPr>
            </w:pPr>
            <w:r>
              <w:rPr>
                <w:color w:val="000000"/>
                <w:sz w:val="20"/>
                <w:szCs w:val="20"/>
              </w:rPr>
              <w:t>- nabave nove opreme</w:t>
            </w:r>
          </w:p>
        </w:tc>
        <w:tc>
          <w:tcPr>
            <w:tcW w:w="2126" w:type="dxa"/>
            <w:tcBorders>
              <w:top w:val="single" w:sz="4" w:space="0" w:color="000000"/>
              <w:bottom w:val="single" w:sz="4" w:space="0" w:color="000000"/>
              <w:right w:val="single" w:sz="4" w:space="0" w:color="000000"/>
            </w:tcBorders>
            <w:shd w:color="auto" w:fill="auto" w:val="clear"/>
            <w:vAlign w:val="center"/>
          </w:tcPr>
          <w:p>
            <w:pPr>
              <w:pStyle w:val="Normal"/>
              <w:widowControl w:val="false"/>
              <w:rPr>
                <w:color w:val="000000"/>
                <w:sz w:val="20"/>
                <w:szCs w:val="20"/>
              </w:rPr>
            </w:pPr>
            <w:r>
              <w:rPr>
                <w:color w:val="000000"/>
                <w:sz w:val="20"/>
                <w:szCs w:val="20"/>
              </w:rPr>
              <w:t>Nabava potrebne opreme za poboljšanje standarda Škole</w:t>
            </w:r>
          </w:p>
        </w:tc>
        <w:tc>
          <w:tcPr>
            <w:tcW w:w="991" w:type="dxa"/>
            <w:tcBorders>
              <w:top w:val="single" w:sz="4" w:space="0" w:color="000000"/>
              <w:bottom w:val="single" w:sz="4" w:space="0" w:color="000000"/>
              <w:right w:val="single" w:sz="4" w:space="0" w:color="000000"/>
            </w:tcBorders>
            <w:shd w:color="auto" w:fill="auto" w:val="clear"/>
            <w:vAlign w:val="center"/>
          </w:tcPr>
          <w:p>
            <w:pPr>
              <w:pStyle w:val="Normal"/>
              <w:widowControl w:val="false"/>
              <w:jc w:val="center"/>
              <w:rPr>
                <w:color w:val="000000"/>
                <w:sz w:val="20"/>
                <w:szCs w:val="20"/>
              </w:rPr>
            </w:pPr>
            <w:r>
              <w:rPr>
                <w:color w:val="000000"/>
                <w:sz w:val="20"/>
                <w:szCs w:val="20"/>
              </w:rPr>
              <w:t>postotak</w:t>
            </w:r>
          </w:p>
        </w:tc>
        <w:tc>
          <w:tcPr>
            <w:tcW w:w="156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color w:val="000000"/>
                <w:sz w:val="20"/>
                <w:szCs w:val="20"/>
              </w:rPr>
            </w:pPr>
            <w:r>
              <w:rPr>
                <w:color w:val="000000"/>
                <w:sz w:val="20"/>
                <w:szCs w:val="20"/>
              </w:rPr>
              <w:t>100 %</w:t>
            </w:r>
          </w:p>
        </w:tc>
        <w:tc>
          <w:tcPr>
            <w:tcW w:w="1417" w:type="dxa"/>
            <w:tcBorders>
              <w:top w:val="single" w:sz="4" w:space="0" w:color="000000"/>
              <w:bottom w:val="single" w:sz="4" w:space="0" w:color="000000"/>
              <w:right w:val="single" w:sz="4" w:space="0" w:color="000000"/>
            </w:tcBorders>
            <w:shd w:color="auto" w:fill="auto" w:val="clear"/>
            <w:vAlign w:val="center"/>
          </w:tcPr>
          <w:p>
            <w:pPr>
              <w:pStyle w:val="Normal"/>
              <w:widowControl w:val="false"/>
              <w:jc w:val="center"/>
              <w:rPr>
                <w:color w:val="000000"/>
                <w:sz w:val="20"/>
                <w:szCs w:val="20"/>
              </w:rPr>
            </w:pPr>
            <w:r>
              <w:rPr>
                <w:color w:val="000000"/>
                <w:sz w:val="20"/>
                <w:szCs w:val="20"/>
              </w:rPr>
              <w:t>100 %</w:t>
            </w:r>
          </w:p>
        </w:tc>
        <w:tc>
          <w:tcPr>
            <w:tcW w:w="1559" w:type="dxa"/>
            <w:tcBorders>
              <w:top w:val="single" w:sz="4" w:space="0" w:color="000000"/>
              <w:bottom w:val="single" w:sz="4" w:space="0" w:color="000000"/>
              <w:right w:val="single" w:sz="4" w:space="0" w:color="000000"/>
            </w:tcBorders>
            <w:shd w:color="auto" w:fill="auto" w:val="clear"/>
            <w:vAlign w:val="center"/>
          </w:tcPr>
          <w:p>
            <w:pPr>
              <w:pStyle w:val="Normal"/>
              <w:widowControl w:val="false"/>
              <w:jc w:val="center"/>
              <w:rPr>
                <w:sz w:val="20"/>
                <w:szCs w:val="20"/>
              </w:rPr>
            </w:pPr>
            <w:r>
              <w:rPr>
                <w:sz w:val="20"/>
                <w:szCs w:val="20"/>
              </w:rPr>
              <w:t>23,49 %</w:t>
            </w:r>
          </w:p>
        </w:tc>
      </w:tr>
    </w:tbl>
    <w:p>
      <w:pPr>
        <w:pStyle w:val="Normal"/>
        <w:ind w:left="720" w:hanging="0"/>
        <w:jc w:val="both"/>
        <w:rPr>
          <w:b/>
          <w:b/>
        </w:rPr>
      </w:pPr>
      <w:r>
        <w:rPr>
          <w:b/>
        </w:rPr>
      </w:r>
    </w:p>
    <w:p>
      <w:pPr>
        <w:pStyle w:val="Normal"/>
        <w:jc w:val="both"/>
        <w:rPr>
          <w:bCs/>
        </w:rPr>
      </w:pPr>
      <w:r>
        <w:rPr>
          <w:bCs/>
        </w:rPr>
        <w:t xml:space="preserve">U 2021. godini školi su dodijeljena veća financijska sredstva naspram 2022. godine. Povećana su decentralizirana sredstva za zadovoljavanje osnovnih potreba Škole, i to za 29,74 %, dok su  sredstva za nabavu opreme smanjena za 84.675 kn što je manje za 76,51 % naspram 2021. godine. Samim time naručeno je manje opreme. </w:t>
      </w:r>
    </w:p>
    <w:p>
      <w:pPr>
        <w:pStyle w:val="Normal"/>
        <w:jc w:val="both"/>
        <w:rPr>
          <w:bCs/>
        </w:rPr>
      </w:pPr>
      <w:r>
        <w:rPr>
          <w:bCs/>
        </w:rPr>
      </w:r>
    </w:p>
    <w:p>
      <w:pPr>
        <w:pStyle w:val="Normal"/>
        <w:jc w:val="both"/>
        <w:rPr>
          <w:bCs/>
        </w:rPr>
      </w:pPr>
      <w:r>
        <w:rPr>
          <w:bCs/>
        </w:rPr>
      </w:r>
    </w:p>
    <w:p>
      <w:pPr>
        <w:pStyle w:val="Normal"/>
        <w:rPr/>
      </w:pPr>
      <w:r>
        <w:rPr/>
      </w:r>
    </w:p>
    <w:p>
      <w:pPr>
        <w:pStyle w:val="Normal"/>
        <w:rPr/>
      </w:pPr>
      <w:r>
        <w:rPr/>
      </w:r>
    </w:p>
    <w:tbl>
      <w:tblPr>
        <w:tblW w:w="9654" w:type="dxa"/>
        <w:jc w:val="left"/>
        <w:tblInd w:w="93" w:type="dxa"/>
        <w:tblLayout w:type="fixed"/>
        <w:tblCellMar>
          <w:top w:w="0" w:type="dxa"/>
          <w:left w:w="108" w:type="dxa"/>
          <w:bottom w:w="0" w:type="dxa"/>
          <w:right w:w="108" w:type="dxa"/>
        </w:tblCellMar>
        <w:tblLook w:firstRow="1" w:noVBand="1" w:lastRow="0" w:firstColumn="1" w:lastColumn="0" w:noHBand="0" w:val="04a0"/>
      </w:tblPr>
      <w:tblGrid>
        <w:gridCol w:w="9654"/>
      </w:tblGrid>
      <w:tr>
        <w:trPr>
          <w:trHeight w:val="266" w:hRule="atLeast"/>
        </w:trPr>
        <w:tc>
          <w:tcPr>
            <w:tcW w:w="9654" w:type="dxa"/>
            <w:tcBorders>
              <w:top w:val="single" w:sz="4" w:space="0" w:color="000000"/>
              <w:left w:val="single" w:sz="4" w:space="0" w:color="000000"/>
              <w:bottom w:val="single" w:sz="4" w:space="0" w:color="000000"/>
              <w:right w:val="single" w:sz="4" w:space="0" w:color="000000"/>
            </w:tcBorders>
            <w:shd w:color="auto" w:fill="D9D9D9" w:val="clear"/>
          </w:tcPr>
          <w:p>
            <w:pPr>
              <w:pStyle w:val="Normal"/>
              <w:widowControl w:val="false"/>
              <w:rPr>
                <w:b/>
                <w:b/>
                <w:bCs/>
                <w:i/>
                <w:i/>
                <w:iCs/>
              </w:rPr>
            </w:pPr>
            <w:r>
              <w:rPr>
                <w:b/>
              </w:rPr>
              <w:t>PROGRAM 1138: PROGRAM STANDARDA IZNAD DRŽAVNOG – ŠIRE JAVNE POTREBE</w:t>
            </w:r>
          </w:p>
        </w:tc>
      </w:tr>
      <w:tr>
        <w:trPr>
          <w:trHeight w:val="576" w:hRule="atLeast"/>
        </w:trPr>
        <w:tc>
          <w:tcPr>
            <w:tcW w:w="9654"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color w:val="000000"/>
              </w:rPr>
            </w:pPr>
            <w:r>
              <w:rPr>
                <w:b/>
                <w:color w:val="000000"/>
              </w:rPr>
              <w:t>Opis programa</w:t>
            </w:r>
            <w:r>
              <w:rPr>
                <w:color w:val="000000"/>
              </w:rPr>
              <w:t>: ovaj program obogaćuje osnovni program školstva dodatnim i novim sadržajima i aktivnostima</w:t>
            </w:r>
          </w:p>
        </w:tc>
      </w:tr>
      <w:tr>
        <w:trPr>
          <w:trHeight w:val="584" w:hRule="atLeast"/>
        </w:trPr>
        <w:tc>
          <w:tcPr>
            <w:tcW w:w="9654"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both"/>
              <w:rPr/>
            </w:pPr>
            <w:r>
              <w:rPr>
                <w:b/>
              </w:rPr>
              <w:t>Opći cilj</w:t>
            </w:r>
            <w:r>
              <w:rPr/>
              <w:t xml:space="preserve">: provođenje dodatnih programa i aktivnosti </w:t>
            </w:r>
            <w:r>
              <w:rPr>
                <w:color w:val="000000"/>
              </w:rPr>
              <w:t>iznad državnog standarda</w:t>
            </w:r>
          </w:p>
          <w:p>
            <w:pPr>
              <w:pStyle w:val="Normal"/>
              <w:widowControl w:val="false"/>
              <w:jc w:val="both"/>
              <w:rPr>
                <w:i/>
                <w:i/>
                <w:color w:val="000000"/>
              </w:rPr>
            </w:pPr>
            <w:r>
              <w:rPr>
                <w:b/>
              </w:rPr>
              <w:t>Posebni cilj</w:t>
            </w:r>
            <w:r>
              <w:rPr/>
              <w:t>: povećanje financijska sredstva za dodatne šire javne potrebe osnovnog školstva</w:t>
            </w:r>
          </w:p>
        </w:tc>
      </w:tr>
    </w:tbl>
    <w:p>
      <w:pPr>
        <w:pStyle w:val="Normal"/>
        <w:ind w:left="720" w:hanging="0"/>
        <w:jc w:val="both"/>
        <w:rPr>
          <w:b/>
          <w:b/>
        </w:rPr>
      </w:pPr>
      <w:r>
        <w:rPr>
          <w:b/>
        </w:rPr>
      </w:r>
    </w:p>
    <w:p>
      <w:pPr>
        <w:pStyle w:val="ListParagraph"/>
        <w:numPr>
          <w:ilvl w:val="0"/>
          <w:numId w:val="5"/>
        </w:numPr>
        <w:spacing w:lineRule="auto" w:line="276"/>
        <w:jc w:val="both"/>
        <w:rPr>
          <w:b/>
          <w:b/>
        </w:rPr>
      </w:pPr>
      <w:bookmarkStart w:id="2" w:name="_Hlk64906507"/>
      <w:r>
        <w:rPr>
          <w:b/>
        </w:rPr>
        <w:t xml:space="preserve">Ostvarena financijska sredstava za aktivnosti unutar programa </w:t>
      </w:r>
      <w:bookmarkEnd w:id="2"/>
      <w:r>
        <w:rPr>
          <w:b/>
        </w:rPr>
        <w:t>1138 Program standarda iznad državnog – šire javne potrebe (u kunama):</w:t>
      </w:r>
    </w:p>
    <w:p>
      <w:pPr>
        <w:pStyle w:val="ListParagraph"/>
        <w:spacing w:lineRule="auto" w:line="276"/>
        <w:rPr>
          <w:b/>
          <w:b/>
        </w:rPr>
      </w:pPr>
      <w:r>
        <w:rPr>
          <w:b/>
        </w:rPr>
      </w:r>
    </w:p>
    <w:tbl>
      <w:tblPr>
        <w:tblW w:w="9654" w:type="dxa"/>
        <w:jc w:val="left"/>
        <w:tblInd w:w="93" w:type="dxa"/>
        <w:tblLayout w:type="fixed"/>
        <w:tblCellMar>
          <w:top w:w="0" w:type="dxa"/>
          <w:left w:w="108" w:type="dxa"/>
          <w:bottom w:w="0" w:type="dxa"/>
          <w:right w:w="108" w:type="dxa"/>
        </w:tblCellMar>
        <w:tblLook w:firstRow="1" w:noVBand="1" w:lastRow="0" w:firstColumn="1" w:lastColumn="0" w:noHBand="0" w:val="04a0"/>
      </w:tblPr>
      <w:tblGrid>
        <w:gridCol w:w="3984"/>
        <w:gridCol w:w="1985"/>
        <w:gridCol w:w="2125"/>
        <w:gridCol w:w="1559"/>
      </w:tblGrid>
      <w:tr>
        <w:trPr>
          <w:trHeight w:val="591" w:hRule="atLeast"/>
        </w:trPr>
        <w:tc>
          <w:tcPr>
            <w:tcW w:w="3984"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b/>
                <w:b/>
                <w:color w:val="000000"/>
              </w:rPr>
            </w:pPr>
            <w:r>
              <w:rPr>
                <w:b/>
                <w:color w:val="000000"/>
              </w:rPr>
              <w:t>Naziv aktivnosti</w:t>
            </w:r>
          </w:p>
        </w:tc>
        <w:tc>
          <w:tcPr>
            <w:tcW w:w="1985" w:type="dxa"/>
            <w:tcBorders>
              <w:top w:val="single" w:sz="4" w:space="0" w:color="000000"/>
              <w:bottom w:val="single" w:sz="4" w:space="0" w:color="000000"/>
              <w:right w:val="single" w:sz="4" w:space="0" w:color="000000"/>
            </w:tcBorders>
            <w:shd w:color="auto" w:fill="auto" w:val="clear"/>
            <w:vAlign w:val="center"/>
          </w:tcPr>
          <w:p>
            <w:pPr>
              <w:pStyle w:val="Normal"/>
              <w:widowControl w:val="false"/>
              <w:jc w:val="center"/>
              <w:rPr>
                <w:b/>
                <w:b/>
                <w:color w:val="000000"/>
              </w:rPr>
            </w:pPr>
            <w:r>
              <w:rPr>
                <w:b/>
                <w:color w:val="000000"/>
              </w:rPr>
              <w:t>Plan</w:t>
            </w:r>
          </w:p>
          <w:p>
            <w:pPr>
              <w:pStyle w:val="Normal"/>
              <w:widowControl w:val="false"/>
              <w:jc w:val="center"/>
              <w:rPr>
                <w:b/>
                <w:b/>
                <w:color w:val="000000"/>
              </w:rPr>
            </w:pPr>
            <w:r>
              <w:rPr>
                <w:b/>
                <w:color w:val="000000"/>
              </w:rPr>
              <w:t>2022.</w:t>
            </w:r>
          </w:p>
        </w:tc>
        <w:tc>
          <w:tcPr>
            <w:tcW w:w="2125" w:type="dxa"/>
            <w:tcBorders>
              <w:top w:val="single" w:sz="4" w:space="0" w:color="000000"/>
              <w:bottom w:val="single" w:sz="4" w:space="0" w:color="000000"/>
              <w:right w:val="single" w:sz="4" w:space="0" w:color="000000"/>
            </w:tcBorders>
            <w:shd w:color="auto" w:fill="auto" w:val="clear"/>
            <w:vAlign w:val="center"/>
          </w:tcPr>
          <w:p>
            <w:pPr>
              <w:pStyle w:val="Normal"/>
              <w:widowControl w:val="false"/>
              <w:jc w:val="center"/>
              <w:rPr>
                <w:b/>
                <w:b/>
                <w:color w:val="000000"/>
              </w:rPr>
            </w:pPr>
            <w:r>
              <w:rPr>
                <w:b/>
                <w:color w:val="000000"/>
              </w:rPr>
              <w:t xml:space="preserve">Ostvareni rashodi </w:t>
            </w:r>
          </w:p>
          <w:p>
            <w:pPr>
              <w:pStyle w:val="Normal"/>
              <w:widowControl w:val="false"/>
              <w:jc w:val="center"/>
              <w:rPr>
                <w:b/>
                <w:b/>
                <w:color w:val="000000"/>
              </w:rPr>
            </w:pPr>
            <w:r>
              <w:rPr>
                <w:b/>
                <w:color w:val="000000"/>
              </w:rPr>
              <w:t>2022.</w:t>
            </w:r>
          </w:p>
        </w:tc>
        <w:tc>
          <w:tcPr>
            <w:tcW w:w="1559" w:type="dxa"/>
            <w:tcBorders>
              <w:top w:val="single" w:sz="4" w:space="0" w:color="000000"/>
              <w:bottom w:val="single" w:sz="4" w:space="0" w:color="000000"/>
              <w:right w:val="single" w:sz="4" w:space="0" w:color="000000"/>
            </w:tcBorders>
            <w:shd w:color="auto" w:fill="auto" w:val="clear"/>
            <w:vAlign w:val="center"/>
          </w:tcPr>
          <w:p>
            <w:pPr>
              <w:pStyle w:val="Normal"/>
              <w:widowControl w:val="false"/>
              <w:jc w:val="center"/>
              <w:rPr>
                <w:b/>
                <w:b/>
                <w:color w:val="000000"/>
              </w:rPr>
            </w:pPr>
            <w:r>
              <w:rPr>
                <w:b/>
                <w:color w:val="000000"/>
              </w:rPr>
              <w:t>Index</w:t>
            </w:r>
          </w:p>
        </w:tc>
      </w:tr>
      <w:tr>
        <w:trPr>
          <w:trHeight w:val="444" w:hRule="atLeast"/>
        </w:trPr>
        <w:tc>
          <w:tcPr>
            <w:tcW w:w="3984" w:type="dxa"/>
            <w:tcBorders>
              <w:top w:val="single" w:sz="4" w:space="0" w:color="000000"/>
              <w:left w:val="single" w:sz="4" w:space="0" w:color="000000"/>
              <w:bottom w:val="single" w:sz="4" w:space="0" w:color="000000"/>
              <w:right w:val="single" w:sz="4" w:space="0" w:color="000000"/>
            </w:tcBorders>
            <w:shd w:color="auto" w:fill="auto" w:val="clear"/>
          </w:tcPr>
          <w:p>
            <w:pPr>
              <w:pStyle w:val="Stilnaslova2"/>
              <w:widowControl w:val="false"/>
              <w:spacing w:before="0" w:after="0"/>
              <w:rPr>
                <w:rFonts w:ascii="Times New Roman" w:hAnsi="Times New Roman" w:cs="Times New Roman"/>
                <w:b/>
                <w:b/>
                <w:i/>
                <w:i/>
                <w:color w:val="000000"/>
                <w:sz w:val="24"/>
                <w:szCs w:val="24"/>
              </w:rPr>
            </w:pPr>
            <w:r>
              <w:rPr>
                <w:rFonts w:cs="Times New Roman" w:ascii="Times New Roman" w:hAnsi="Times New Roman"/>
                <w:i/>
                <w:color w:val="auto"/>
                <w:sz w:val="24"/>
                <w:szCs w:val="24"/>
              </w:rPr>
              <w:t>Aktivnost A113801:</w:t>
            </w:r>
            <w:r>
              <w:rPr>
                <w:rFonts w:cs="Times New Roman" w:ascii="Times New Roman" w:hAnsi="Times New Roman"/>
                <w:b/>
                <w:i/>
                <w:color w:val="auto"/>
                <w:sz w:val="24"/>
                <w:szCs w:val="24"/>
              </w:rPr>
              <w:t xml:space="preserve"> Program produženog boravka i cjelodnevnog </w:t>
            </w:r>
            <w:r>
              <w:rPr>
                <w:rFonts w:cs="Times New Roman" w:ascii="Times New Roman" w:hAnsi="Times New Roman"/>
                <w:b/>
                <w:i/>
                <w:color w:val="000000"/>
                <w:sz w:val="24"/>
                <w:szCs w:val="24"/>
              </w:rPr>
              <w:t>odgojno-obrazovnog rada</w:t>
            </w:r>
            <w:r>
              <w:rPr>
                <w:rFonts w:cs="Times New Roman" w:ascii="Times New Roman" w:hAnsi="Times New Roman"/>
                <w:b/>
                <w:i/>
                <w:sz w:val="24"/>
                <w:szCs w:val="24"/>
              </w:rPr>
              <w:t xml:space="preserve"> </w:t>
            </w:r>
          </w:p>
        </w:tc>
        <w:tc>
          <w:tcPr>
            <w:tcW w:w="1985" w:type="dxa"/>
            <w:tcBorders>
              <w:bottom w:val="single" w:sz="4" w:space="0" w:color="000000"/>
              <w:right w:val="single" w:sz="4" w:space="0" w:color="000000"/>
            </w:tcBorders>
            <w:shd w:color="auto" w:fill="auto" w:val="clear"/>
            <w:vAlign w:val="center"/>
          </w:tcPr>
          <w:p>
            <w:pPr>
              <w:pStyle w:val="Normal"/>
              <w:widowControl w:val="false"/>
              <w:jc w:val="right"/>
              <w:rPr>
                <w:color w:val="000000"/>
              </w:rPr>
            </w:pPr>
            <w:r>
              <w:rPr>
                <w:color w:val="000000"/>
              </w:rPr>
              <w:t>1.242.143</w:t>
            </w:r>
          </w:p>
        </w:tc>
        <w:tc>
          <w:tcPr>
            <w:tcW w:w="2125" w:type="dxa"/>
            <w:tcBorders>
              <w:bottom w:val="single" w:sz="4" w:space="0" w:color="000000"/>
              <w:right w:val="single" w:sz="4" w:space="0" w:color="000000"/>
            </w:tcBorders>
            <w:shd w:color="auto" w:fill="auto" w:val="clear"/>
            <w:vAlign w:val="center"/>
          </w:tcPr>
          <w:p>
            <w:pPr>
              <w:pStyle w:val="Normal"/>
              <w:widowControl w:val="false"/>
              <w:jc w:val="right"/>
              <w:rPr>
                <w:color w:val="000000"/>
              </w:rPr>
            </w:pPr>
            <w:r>
              <w:rPr>
                <w:color w:val="000000"/>
              </w:rPr>
              <w:t>1.046.430</w:t>
            </w:r>
          </w:p>
        </w:tc>
        <w:tc>
          <w:tcPr>
            <w:tcW w:w="1559" w:type="dxa"/>
            <w:tcBorders>
              <w:bottom w:val="single" w:sz="4" w:space="0" w:color="000000"/>
              <w:right w:val="single" w:sz="4" w:space="0" w:color="000000"/>
            </w:tcBorders>
            <w:shd w:color="auto" w:fill="auto" w:val="clear"/>
            <w:vAlign w:val="center"/>
          </w:tcPr>
          <w:p>
            <w:pPr>
              <w:pStyle w:val="Normal"/>
              <w:widowControl w:val="false"/>
              <w:jc w:val="right"/>
              <w:rPr>
                <w:color w:val="000000"/>
              </w:rPr>
            </w:pPr>
            <w:r>
              <w:rPr>
                <w:color w:val="000000"/>
              </w:rPr>
              <w:t>84,24 %</w:t>
            </w:r>
          </w:p>
        </w:tc>
      </w:tr>
      <w:tr>
        <w:trPr>
          <w:trHeight w:val="282" w:hRule="atLeast"/>
        </w:trPr>
        <w:tc>
          <w:tcPr>
            <w:tcW w:w="3984"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color w:val="000000"/>
              </w:rPr>
            </w:pPr>
            <w:r>
              <w:rPr>
                <w:b/>
                <w:color w:val="000000"/>
              </w:rPr>
              <w:t>Aktivnost A113814:</w:t>
            </w:r>
            <w:r>
              <w:rPr>
                <w:color w:val="000000"/>
              </w:rPr>
              <w:t xml:space="preserve"> Fakultativni predmet "Moja Rijeka"</w:t>
            </w:r>
          </w:p>
        </w:tc>
        <w:tc>
          <w:tcPr>
            <w:tcW w:w="1985" w:type="dxa"/>
            <w:tcBorders>
              <w:bottom w:val="single" w:sz="4" w:space="0" w:color="000000"/>
              <w:right w:val="single" w:sz="4" w:space="0" w:color="000000"/>
            </w:tcBorders>
            <w:shd w:color="auto" w:fill="auto" w:val="clear"/>
            <w:vAlign w:val="center"/>
          </w:tcPr>
          <w:p>
            <w:pPr>
              <w:pStyle w:val="Normal"/>
              <w:widowControl w:val="false"/>
              <w:jc w:val="right"/>
              <w:rPr>
                <w:color w:val="000000"/>
              </w:rPr>
            </w:pPr>
            <w:r>
              <w:rPr>
                <w:color w:val="000000"/>
              </w:rPr>
              <w:t>16.500</w:t>
            </w:r>
          </w:p>
        </w:tc>
        <w:tc>
          <w:tcPr>
            <w:tcW w:w="2125" w:type="dxa"/>
            <w:tcBorders>
              <w:bottom w:val="single" w:sz="4" w:space="0" w:color="000000"/>
              <w:right w:val="single" w:sz="4" w:space="0" w:color="000000"/>
            </w:tcBorders>
            <w:shd w:color="auto" w:fill="auto" w:val="clear"/>
            <w:vAlign w:val="center"/>
          </w:tcPr>
          <w:p>
            <w:pPr>
              <w:pStyle w:val="Normal"/>
              <w:widowControl w:val="false"/>
              <w:jc w:val="right"/>
              <w:rPr>
                <w:color w:val="000000"/>
              </w:rPr>
            </w:pPr>
            <w:r>
              <w:rPr>
                <w:color w:val="000000"/>
              </w:rPr>
              <w:t>6.930</w:t>
            </w:r>
          </w:p>
        </w:tc>
        <w:tc>
          <w:tcPr>
            <w:tcW w:w="1559" w:type="dxa"/>
            <w:tcBorders>
              <w:bottom w:val="single" w:sz="4" w:space="0" w:color="000000"/>
              <w:right w:val="single" w:sz="4" w:space="0" w:color="000000"/>
            </w:tcBorders>
            <w:shd w:color="auto" w:fill="auto" w:val="clear"/>
            <w:vAlign w:val="center"/>
          </w:tcPr>
          <w:p>
            <w:pPr>
              <w:pStyle w:val="Normal"/>
              <w:widowControl w:val="false"/>
              <w:jc w:val="right"/>
              <w:rPr>
                <w:color w:val="000000"/>
              </w:rPr>
            </w:pPr>
            <w:r>
              <w:rPr>
                <w:color w:val="000000"/>
              </w:rPr>
              <w:t>42,00 %</w:t>
            </w:r>
          </w:p>
        </w:tc>
      </w:tr>
      <w:tr>
        <w:trPr>
          <w:trHeight w:val="282" w:hRule="atLeast"/>
        </w:trPr>
        <w:tc>
          <w:tcPr>
            <w:tcW w:w="3984"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color w:val="000000"/>
              </w:rPr>
            </w:pPr>
            <w:r>
              <w:rPr>
                <w:b/>
                <w:color w:val="000000"/>
              </w:rPr>
              <w:t>Aktivnost A113818:</w:t>
            </w:r>
            <w:r>
              <w:rPr>
                <w:color w:val="000000"/>
              </w:rPr>
              <w:t xml:space="preserve"> Pomoćnici u nastavi</w:t>
            </w:r>
          </w:p>
        </w:tc>
        <w:tc>
          <w:tcPr>
            <w:tcW w:w="1985" w:type="dxa"/>
            <w:tcBorders>
              <w:bottom w:val="single" w:sz="4" w:space="0" w:color="000000"/>
              <w:right w:val="single" w:sz="4" w:space="0" w:color="000000"/>
            </w:tcBorders>
            <w:shd w:color="auto" w:fill="auto" w:val="clear"/>
            <w:vAlign w:val="center"/>
          </w:tcPr>
          <w:p>
            <w:pPr>
              <w:pStyle w:val="Normal"/>
              <w:widowControl w:val="false"/>
              <w:jc w:val="right"/>
              <w:rPr>
                <w:color w:val="000000"/>
              </w:rPr>
            </w:pPr>
            <w:r>
              <w:rPr>
                <w:color w:val="000000"/>
              </w:rPr>
              <w:t>58.211</w:t>
            </w:r>
          </w:p>
        </w:tc>
        <w:tc>
          <w:tcPr>
            <w:tcW w:w="2125" w:type="dxa"/>
            <w:tcBorders>
              <w:bottom w:val="single" w:sz="4" w:space="0" w:color="000000"/>
              <w:right w:val="single" w:sz="4" w:space="0" w:color="000000"/>
            </w:tcBorders>
            <w:shd w:color="auto" w:fill="auto" w:val="clear"/>
            <w:vAlign w:val="center"/>
          </w:tcPr>
          <w:p>
            <w:pPr>
              <w:pStyle w:val="Normal"/>
              <w:widowControl w:val="false"/>
              <w:jc w:val="right"/>
              <w:rPr>
                <w:color w:val="000000"/>
              </w:rPr>
            </w:pPr>
            <w:r>
              <w:rPr>
                <w:color w:val="000000"/>
              </w:rPr>
              <w:t>52.928</w:t>
            </w:r>
          </w:p>
        </w:tc>
        <w:tc>
          <w:tcPr>
            <w:tcW w:w="1559" w:type="dxa"/>
            <w:tcBorders>
              <w:bottom w:val="single" w:sz="4" w:space="0" w:color="000000"/>
              <w:right w:val="single" w:sz="4" w:space="0" w:color="000000"/>
            </w:tcBorders>
            <w:shd w:color="auto" w:fill="auto" w:val="clear"/>
            <w:vAlign w:val="center"/>
          </w:tcPr>
          <w:p>
            <w:pPr>
              <w:pStyle w:val="Normal"/>
              <w:widowControl w:val="false"/>
              <w:jc w:val="right"/>
              <w:rPr>
                <w:color w:val="000000"/>
              </w:rPr>
            </w:pPr>
            <w:r>
              <w:rPr>
                <w:color w:val="000000"/>
              </w:rPr>
              <w:t>90,92 %</w:t>
            </w:r>
          </w:p>
        </w:tc>
      </w:tr>
      <w:tr>
        <w:trPr>
          <w:trHeight w:val="282" w:hRule="atLeast"/>
        </w:trPr>
        <w:tc>
          <w:tcPr>
            <w:tcW w:w="3984"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b/>
                <w:b/>
                <w:color w:val="000000"/>
              </w:rPr>
            </w:pPr>
            <w:r>
              <w:rPr>
                <w:b/>
                <w:color w:val="000000"/>
              </w:rPr>
              <w:t xml:space="preserve">Aktivnost </w:t>
            </w:r>
            <w:r>
              <w:rPr>
                <w:b/>
                <w:bCs/>
              </w:rPr>
              <w:t>A113821:</w:t>
            </w:r>
            <w:r>
              <w:rPr>
                <w:bCs/>
              </w:rPr>
              <w:t xml:space="preserve"> Građanski odgoj i obrazovanje</w:t>
            </w:r>
          </w:p>
        </w:tc>
        <w:tc>
          <w:tcPr>
            <w:tcW w:w="1985" w:type="dxa"/>
            <w:tcBorders>
              <w:bottom w:val="single" w:sz="4" w:space="0" w:color="000000"/>
              <w:right w:val="single" w:sz="4" w:space="0" w:color="000000"/>
            </w:tcBorders>
            <w:shd w:color="auto" w:fill="auto" w:val="clear"/>
            <w:vAlign w:val="center"/>
          </w:tcPr>
          <w:p>
            <w:pPr>
              <w:pStyle w:val="Normal"/>
              <w:widowControl w:val="false"/>
              <w:jc w:val="right"/>
              <w:rPr>
                <w:color w:val="000000"/>
              </w:rPr>
            </w:pPr>
            <w:r>
              <w:rPr>
                <w:color w:val="000000"/>
              </w:rPr>
              <w:t>18.060</w:t>
            </w:r>
          </w:p>
        </w:tc>
        <w:tc>
          <w:tcPr>
            <w:tcW w:w="2125" w:type="dxa"/>
            <w:tcBorders>
              <w:bottom w:val="single" w:sz="4" w:space="0" w:color="000000"/>
              <w:right w:val="single" w:sz="4" w:space="0" w:color="000000"/>
            </w:tcBorders>
            <w:shd w:color="auto" w:fill="auto" w:val="clear"/>
            <w:vAlign w:val="center"/>
          </w:tcPr>
          <w:p>
            <w:pPr>
              <w:pStyle w:val="Normal"/>
              <w:widowControl w:val="false"/>
              <w:jc w:val="right"/>
              <w:rPr>
                <w:color w:val="000000"/>
              </w:rPr>
            </w:pPr>
            <w:r>
              <w:rPr>
                <w:color w:val="000000"/>
              </w:rPr>
              <w:t>18.060</w:t>
            </w:r>
          </w:p>
        </w:tc>
        <w:tc>
          <w:tcPr>
            <w:tcW w:w="1559" w:type="dxa"/>
            <w:tcBorders>
              <w:bottom w:val="single" w:sz="4" w:space="0" w:color="000000"/>
              <w:right w:val="single" w:sz="4" w:space="0" w:color="000000"/>
            </w:tcBorders>
            <w:shd w:color="auto" w:fill="auto" w:val="clear"/>
            <w:vAlign w:val="center"/>
          </w:tcPr>
          <w:p>
            <w:pPr>
              <w:pStyle w:val="Normal"/>
              <w:widowControl w:val="false"/>
              <w:jc w:val="right"/>
              <w:rPr>
                <w:color w:val="000000"/>
              </w:rPr>
            </w:pPr>
            <w:r>
              <w:rPr>
                <w:color w:val="000000"/>
              </w:rPr>
              <w:t>100,00 %</w:t>
            </w:r>
          </w:p>
        </w:tc>
      </w:tr>
      <w:tr>
        <w:trPr>
          <w:trHeight w:val="282" w:hRule="atLeast"/>
        </w:trPr>
        <w:tc>
          <w:tcPr>
            <w:tcW w:w="3984"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b/>
                <w:b/>
                <w:color w:val="000000"/>
              </w:rPr>
            </w:pPr>
            <w:r>
              <w:rPr>
                <w:b/>
                <w:color w:val="000000"/>
              </w:rPr>
              <w:t>Ukupno program:</w:t>
            </w:r>
          </w:p>
        </w:tc>
        <w:tc>
          <w:tcPr>
            <w:tcW w:w="1985" w:type="dxa"/>
            <w:tcBorders>
              <w:bottom w:val="single" w:sz="4" w:space="0" w:color="000000"/>
              <w:right w:val="single" w:sz="4" w:space="0" w:color="000000"/>
            </w:tcBorders>
            <w:shd w:color="auto" w:fill="auto" w:val="clear"/>
            <w:vAlign w:val="center"/>
          </w:tcPr>
          <w:p>
            <w:pPr>
              <w:pStyle w:val="Normal"/>
              <w:widowControl w:val="false"/>
              <w:jc w:val="right"/>
              <w:rPr>
                <w:b/>
                <w:b/>
                <w:color w:val="000000"/>
              </w:rPr>
            </w:pPr>
            <w:r>
              <w:rPr>
                <w:b/>
                <w:color w:val="000000"/>
              </w:rPr>
              <w:t>1.334.914</w:t>
            </w:r>
          </w:p>
        </w:tc>
        <w:tc>
          <w:tcPr>
            <w:tcW w:w="2125" w:type="dxa"/>
            <w:tcBorders>
              <w:bottom w:val="single" w:sz="4" w:space="0" w:color="000000"/>
              <w:right w:val="single" w:sz="4" w:space="0" w:color="000000"/>
            </w:tcBorders>
            <w:shd w:color="auto" w:fill="auto" w:val="clear"/>
            <w:vAlign w:val="center"/>
          </w:tcPr>
          <w:p>
            <w:pPr>
              <w:pStyle w:val="Normal"/>
              <w:widowControl w:val="false"/>
              <w:jc w:val="right"/>
              <w:rPr>
                <w:b/>
                <w:b/>
                <w:color w:val="000000"/>
              </w:rPr>
            </w:pPr>
            <w:r>
              <w:rPr>
                <w:b/>
                <w:color w:val="000000"/>
              </w:rPr>
              <w:t>1.124.348</w:t>
            </w:r>
          </w:p>
        </w:tc>
        <w:tc>
          <w:tcPr>
            <w:tcW w:w="1559" w:type="dxa"/>
            <w:tcBorders>
              <w:bottom w:val="single" w:sz="4" w:space="0" w:color="000000"/>
              <w:right w:val="single" w:sz="4" w:space="0" w:color="000000"/>
            </w:tcBorders>
            <w:shd w:color="auto" w:fill="auto" w:val="clear"/>
            <w:vAlign w:val="center"/>
          </w:tcPr>
          <w:p>
            <w:pPr>
              <w:pStyle w:val="Normal"/>
              <w:widowControl w:val="false"/>
              <w:jc w:val="right"/>
              <w:rPr>
                <w:b/>
                <w:b/>
                <w:color w:val="000000"/>
              </w:rPr>
            </w:pPr>
            <w:r>
              <w:rPr>
                <w:color w:val="000000"/>
              </w:rPr>
              <w:t>84,22 %</w:t>
            </w:r>
          </w:p>
        </w:tc>
      </w:tr>
    </w:tbl>
    <w:p>
      <w:pPr>
        <w:pStyle w:val="ListParagraph"/>
        <w:spacing w:lineRule="auto" w:line="276"/>
        <w:rPr>
          <w:b/>
          <w:b/>
        </w:rPr>
      </w:pPr>
      <w:r>
        <w:rPr>
          <w:b/>
        </w:rPr>
      </w:r>
    </w:p>
    <w:p>
      <w:pPr>
        <w:pStyle w:val="ListParagraph"/>
        <w:spacing w:lineRule="auto" w:line="276"/>
        <w:rPr>
          <w:b/>
          <w:b/>
        </w:rPr>
      </w:pPr>
      <w:r>
        <w:rPr>
          <w:b/>
        </w:rPr>
      </w:r>
    </w:p>
    <w:p>
      <w:pPr>
        <w:pStyle w:val="ListParagraph"/>
        <w:numPr>
          <w:ilvl w:val="0"/>
          <w:numId w:val="5"/>
        </w:numPr>
        <w:spacing w:lineRule="auto" w:line="276"/>
        <w:jc w:val="both"/>
        <w:rPr>
          <w:b/>
          <w:b/>
        </w:rPr>
      </w:pPr>
      <w:r>
        <w:rPr>
          <w:b/>
        </w:rPr>
        <w:t>Obrazloženje za aktivnosti unutar programa 1138 Program standarda iznad državnog – šire javne potrebe</w:t>
      </w:r>
    </w:p>
    <w:p>
      <w:pPr>
        <w:pStyle w:val="Normal"/>
        <w:ind w:left="720" w:hanging="0"/>
        <w:rPr/>
      </w:pPr>
      <w:r>
        <w:rPr/>
      </w:r>
    </w:p>
    <w:tbl>
      <w:tblPr>
        <w:tblW w:w="9654" w:type="dxa"/>
        <w:jc w:val="left"/>
        <w:tblInd w:w="93" w:type="dxa"/>
        <w:tblLayout w:type="fixed"/>
        <w:tblCellMar>
          <w:top w:w="0" w:type="dxa"/>
          <w:left w:w="108" w:type="dxa"/>
          <w:bottom w:w="0" w:type="dxa"/>
          <w:right w:w="108" w:type="dxa"/>
        </w:tblCellMar>
        <w:tblLook w:firstRow="1" w:noVBand="1" w:lastRow="0" w:firstColumn="1" w:lastColumn="0" w:noHBand="0" w:val="04a0"/>
      </w:tblPr>
      <w:tblGrid>
        <w:gridCol w:w="9654"/>
      </w:tblGrid>
      <w:tr>
        <w:trPr>
          <w:trHeight w:val="300" w:hRule="atLeast"/>
        </w:trPr>
        <w:tc>
          <w:tcPr>
            <w:tcW w:w="9654"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b/>
                <w:b/>
                <w:bCs/>
              </w:rPr>
            </w:pPr>
            <w:r>
              <w:rPr>
                <w:b/>
                <w:bCs/>
              </w:rPr>
              <w:t xml:space="preserve">Aktivnost A113801: </w:t>
            </w:r>
            <w:r>
              <w:rPr>
                <w:b/>
                <w:bCs/>
                <w:sz w:val="23"/>
                <w:szCs w:val="23"/>
              </w:rPr>
              <w:t>Program produženog boravka i cjelodnevnog odgojno-obrazovnog rada</w:t>
            </w:r>
          </w:p>
        </w:tc>
      </w:tr>
      <w:tr>
        <w:trPr>
          <w:trHeight w:val="300" w:hRule="atLeast"/>
        </w:trPr>
        <w:tc>
          <w:tcPr>
            <w:tcW w:w="9654"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numPr>
                <w:ilvl w:val="0"/>
                <w:numId w:val="6"/>
              </w:numPr>
              <w:ind w:left="616" w:hanging="283"/>
              <w:rPr>
                <w:b/>
                <w:b/>
                <w:bCs/>
              </w:rPr>
            </w:pPr>
            <w:r>
              <w:rPr>
                <w:color w:val="000000"/>
              </w:rPr>
              <w:t xml:space="preserve">obuhvaća troškove za plaću učitelja i prehrane u PB-u koji se sufinanciraju od Grada Rijeke i roditelja, a u svrhu provođenja PB – a  za učenike čiji roditelji rade puno radno vrijeme. </w:t>
            </w:r>
          </w:p>
        </w:tc>
      </w:tr>
      <w:tr>
        <w:trPr>
          <w:trHeight w:val="340" w:hRule="atLeast"/>
        </w:trPr>
        <w:tc>
          <w:tcPr>
            <w:tcW w:w="9654" w:type="dxa"/>
            <w:tcBorders>
              <w:top w:val="single" w:sz="4" w:space="0" w:color="000000"/>
              <w:left w:val="single" w:sz="4" w:space="0" w:color="000000"/>
              <w:bottom w:val="single" w:sz="4" w:space="0" w:color="000000"/>
              <w:right w:val="single" w:sz="4" w:space="0" w:color="000000"/>
            </w:tcBorders>
          </w:tcPr>
          <w:p>
            <w:pPr>
              <w:pStyle w:val="Normal"/>
              <w:widowControl w:val="false"/>
              <w:rPr>
                <w:b/>
                <w:b/>
                <w:color w:val="000000"/>
              </w:rPr>
            </w:pPr>
            <w:r>
              <w:rPr>
                <w:b/>
                <w:color w:val="000000"/>
              </w:rPr>
              <w:t>Aktivnost A113814: Fakultativni predmet "Moja Rijeka"</w:t>
            </w:r>
          </w:p>
        </w:tc>
      </w:tr>
      <w:tr>
        <w:trPr>
          <w:trHeight w:val="340" w:hRule="atLeast"/>
        </w:trPr>
        <w:tc>
          <w:tcPr>
            <w:tcW w:w="9654" w:type="dxa"/>
            <w:tcBorders>
              <w:top w:val="single" w:sz="4" w:space="0" w:color="000000"/>
              <w:left w:val="single" w:sz="4" w:space="0" w:color="000000"/>
              <w:bottom w:val="single" w:sz="4" w:space="0" w:color="000000"/>
              <w:right w:val="single" w:sz="4" w:space="0" w:color="000000"/>
            </w:tcBorders>
          </w:tcPr>
          <w:p>
            <w:pPr>
              <w:pStyle w:val="Normal"/>
              <w:widowControl w:val="false"/>
              <w:numPr>
                <w:ilvl w:val="0"/>
                <w:numId w:val="6"/>
              </w:numPr>
              <w:ind w:left="616" w:hanging="283"/>
              <w:rPr>
                <w:color w:val="000000"/>
              </w:rPr>
            </w:pPr>
            <w:r>
              <w:rPr>
                <w:color w:val="000000"/>
              </w:rPr>
              <w:t>služi za upoznavanje učenika s gradom Rijeka kroz nastavu Povijesti i terenski obilazak samog Grada. Ostvareni rashodi su smanjeni zbog smanjenog broja nastavnih sati .</w:t>
            </w:r>
          </w:p>
        </w:tc>
      </w:tr>
      <w:tr>
        <w:trPr>
          <w:trHeight w:val="340" w:hRule="atLeast"/>
        </w:trPr>
        <w:tc>
          <w:tcPr>
            <w:tcW w:w="9654" w:type="dxa"/>
            <w:tcBorders>
              <w:top w:val="single" w:sz="4" w:space="0" w:color="000000"/>
              <w:left w:val="single" w:sz="4" w:space="0" w:color="000000"/>
              <w:bottom w:val="single" w:sz="4" w:space="0" w:color="000000"/>
              <w:right w:val="single" w:sz="4" w:space="0" w:color="000000"/>
            </w:tcBorders>
          </w:tcPr>
          <w:p>
            <w:pPr>
              <w:pStyle w:val="Normal"/>
              <w:widowControl w:val="false"/>
              <w:rPr>
                <w:b/>
                <w:b/>
                <w:color w:val="000000"/>
              </w:rPr>
            </w:pPr>
            <w:r>
              <w:rPr>
                <w:b/>
                <w:color w:val="000000"/>
              </w:rPr>
              <w:t xml:space="preserve">Aktivnost </w:t>
            </w:r>
            <w:r>
              <w:rPr>
                <w:b/>
                <w:bCs/>
              </w:rPr>
              <w:t>A113821: Građanski odgoj i obrazovanje</w:t>
            </w:r>
          </w:p>
        </w:tc>
      </w:tr>
      <w:tr>
        <w:trPr>
          <w:trHeight w:val="340" w:hRule="atLeast"/>
        </w:trPr>
        <w:tc>
          <w:tcPr>
            <w:tcW w:w="9654" w:type="dxa"/>
            <w:tcBorders>
              <w:top w:val="single" w:sz="4" w:space="0" w:color="000000"/>
              <w:left w:val="single" w:sz="4" w:space="0" w:color="000000"/>
              <w:bottom w:val="single" w:sz="4" w:space="0" w:color="000000"/>
              <w:right w:val="single" w:sz="4" w:space="0" w:color="000000"/>
            </w:tcBorders>
          </w:tcPr>
          <w:p>
            <w:pPr>
              <w:pStyle w:val="Normal"/>
              <w:widowControl w:val="false"/>
              <w:numPr>
                <w:ilvl w:val="0"/>
                <w:numId w:val="6"/>
              </w:numPr>
              <w:ind w:left="616" w:hanging="283"/>
              <w:rPr>
                <w:color w:val="000000"/>
              </w:rPr>
            </w:pPr>
            <w:r>
              <w:rPr>
                <w:color w:val="000000"/>
              </w:rPr>
              <w:t>služi za razvijanje kompetencije učenika za rješavanje stvarnih društvenih i životnih problema. Ostvareni rashodi su ostvareni u potpunosti</w:t>
            </w:r>
          </w:p>
        </w:tc>
      </w:tr>
      <w:tr>
        <w:trPr>
          <w:trHeight w:val="340" w:hRule="atLeast"/>
        </w:trPr>
        <w:tc>
          <w:tcPr>
            <w:tcW w:w="9654" w:type="dxa"/>
            <w:tcBorders>
              <w:top w:val="single" w:sz="4" w:space="0" w:color="000000"/>
              <w:left w:val="single" w:sz="4" w:space="0" w:color="000000"/>
              <w:bottom w:val="single" w:sz="4" w:space="0" w:color="000000"/>
              <w:right w:val="single" w:sz="4" w:space="0" w:color="000000"/>
            </w:tcBorders>
          </w:tcPr>
          <w:p>
            <w:pPr>
              <w:pStyle w:val="Normal"/>
              <w:widowControl w:val="false"/>
              <w:rPr>
                <w:b/>
                <w:b/>
                <w:color w:val="000000"/>
              </w:rPr>
            </w:pPr>
            <w:r>
              <w:rPr>
                <w:b/>
                <w:color w:val="000000"/>
              </w:rPr>
              <w:t xml:space="preserve">Aktivnost </w:t>
            </w:r>
            <w:r>
              <w:rPr>
                <w:b/>
                <w:bCs/>
              </w:rPr>
              <w:t>A113818: Pomoćnici u nastavi</w:t>
            </w:r>
          </w:p>
        </w:tc>
      </w:tr>
      <w:tr>
        <w:trPr>
          <w:trHeight w:val="340" w:hRule="atLeast"/>
        </w:trPr>
        <w:tc>
          <w:tcPr>
            <w:tcW w:w="9654" w:type="dxa"/>
            <w:tcBorders>
              <w:top w:val="single" w:sz="4" w:space="0" w:color="000000"/>
              <w:left w:val="single" w:sz="4" w:space="0" w:color="000000"/>
              <w:bottom w:val="single" w:sz="4" w:space="0" w:color="000000"/>
              <w:right w:val="single" w:sz="4" w:space="0" w:color="000000"/>
            </w:tcBorders>
          </w:tcPr>
          <w:p>
            <w:pPr>
              <w:pStyle w:val="Normal"/>
              <w:widowControl w:val="false"/>
              <w:numPr>
                <w:ilvl w:val="0"/>
                <w:numId w:val="6"/>
              </w:numPr>
              <w:ind w:left="616" w:hanging="283"/>
              <w:rPr>
                <w:color w:val="000000"/>
              </w:rPr>
            </w:pPr>
            <w:r>
              <w:rPr>
                <w:color w:val="000000"/>
              </w:rPr>
              <w:t>služi za pomoć učenicima s rješenjima o prilagođenom obliku školovanja. Ostvareni rashodi su 90.92% u skladu s planiranim sredstvima.</w:t>
            </w:r>
          </w:p>
        </w:tc>
      </w:tr>
    </w:tbl>
    <w:p>
      <w:pPr>
        <w:pStyle w:val="ListParagraph"/>
        <w:spacing w:lineRule="auto" w:line="276"/>
        <w:jc w:val="both"/>
        <w:rPr>
          <w:b/>
          <w:b/>
        </w:rPr>
      </w:pPr>
      <w:r>
        <w:rPr>
          <w:b/>
        </w:rPr>
      </w:r>
    </w:p>
    <w:p>
      <w:pPr>
        <w:pStyle w:val="ListParagraph"/>
        <w:spacing w:lineRule="auto" w:line="276"/>
        <w:jc w:val="both"/>
        <w:rPr>
          <w:b/>
          <w:b/>
        </w:rPr>
      </w:pPr>
      <w:r>
        <w:rPr>
          <w:b/>
        </w:rPr>
      </w:r>
    </w:p>
    <w:p>
      <w:pPr>
        <w:pStyle w:val="ListParagraph"/>
        <w:spacing w:lineRule="auto" w:line="276"/>
        <w:jc w:val="both"/>
        <w:rPr>
          <w:b/>
          <w:b/>
        </w:rPr>
      </w:pPr>
      <w:r>
        <w:rPr>
          <w:b/>
        </w:rPr>
      </w:r>
    </w:p>
    <w:p>
      <w:pPr>
        <w:pStyle w:val="ListParagraph"/>
        <w:spacing w:lineRule="auto" w:line="276"/>
        <w:jc w:val="both"/>
        <w:rPr>
          <w:b/>
          <w:b/>
        </w:rPr>
      </w:pPr>
      <w:r>
        <w:rPr>
          <w:b/>
        </w:rPr>
      </w:r>
    </w:p>
    <w:p>
      <w:pPr>
        <w:pStyle w:val="Normal"/>
        <w:spacing w:lineRule="auto" w:line="276"/>
        <w:jc w:val="both"/>
        <w:rPr>
          <w:b/>
          <w:b/>
        </w:rPr>
      </w:pPr>
      <w:r>
        <w:rPr>
          <w:b/>
        </w:rPr>
      </w:r>
    </w:p>
    <w:p>
      <w:pPr>
        <w:pStyle w:val="ListParagraph"/>
        <w:spacing w:lineRule="auto" w:line="276"/>
        <w:jc w:val="both"/>
        <w:rPr>
          <w:b/>
          <w:b/>
        </w:rPr>
      </w:pPr>
      <w:r>
        <w:rPr>
          <w:b/>
        </w:rPr>
      </w:r>
    </w:p>
    <w:p>
      <w:pPr>
        <w:pStyle w:val="ListParagraph"/>
        <w:numPr>
          <w:ilvl w:val="0"/>
          <w:numId w:val="5"/>
        </w:numPr>
        <w:spacing w:lineRule="auto" w:line="276"/>
        <w:jc w:val="both"/>
        <w:rPr>
          <w:b/>
          <w:b/>
        </w:rPr>
      </w:pPr>
      <w:r>
        <w:rPr>
          <w:b/>
        </w:rPr>
        <w:t>Pokazatelji rezultata na razini aktivnosti unutar programa 1138 Program standarda iznad državnog – šire javne potrebe</w:t>
      </w:r>
    </w:p>
    <w:p>
      <w:pPr>
        <w:pStyle w:val="Normal"/>
        <w:rPr>
          <w:b/>
          <w:b/>
        </w:rPr>
      </w:pPr>
      <w:r>
        <w:rPr>
          <w:b/>
        </w:rPr>
      </w:r>
    </w:p>
    <w:tbl>
      <w:tblPr>
        <w:tblW w:w="9654" w:type="dxa"/>
        <w:jc w:val="left"/>
        <w:tblInd w:w="93" w:type="dxa"/>
        <w:tblLayout w:type="fixed"/>
        <w:tblCellMar>
          <w:top w:w="0" w:type="dxa"/>
          <w:left w:w="108" w:type="dxa"/>
          <w:bottom w:w="0" w:type="dxa"/>
          <w:right w:w="108" w:type="dxa"/>
        </w:tblCellMar>
        <w:tblLook w:firstRow="1" w:noVBand="1" w:lastRow="0" w:firstColumn="1" w:lastColumn="0" w:noHBand="0" w:val="04a0"/>
      </w:tblPr>
      <w:tblGrid>
        <w:gridCol w:w="1858"/>
        <w:gridCol w:w="2126"/>
        <w:gridCol w:w="1133"/>
        <w:gridCol w:w="1560"/>
        <w:gridCol w:w="1559"/>
        <w:gridCol w:w="1417"/>
      </w:tblGrid>
      <w:tr>
        <w:trPr>
          <w:trHeight w:val="564" w:hRule="atLeast"/>
        </w:trPr>
        <w:tc>
          <w:tcPr>
            <w:tcW w:w="1858"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b/>
                <w:b/>
                <w:color w:val="000000"/>
                <w:sz w:val="20"/>
                <w:szCs w:val="20"/>
              </w:rPr>
            </w:pPr>
            <w:r>
              <w:rPr>
                <w:b/>
                <w:color w:val="000000"/>
                <w:sz w:val="20"/>
                <w:szCs w:val="20"/>
              </w:rPr>
              <w:t>Pokazatelj</w:t>
            </w:r>
          </w:p>
          <w:p>
            <w:pPr>
              <w:pStyle w:val="Normal"/>
              <w:widowControl w:val="false"/>
              <w:jc w:val="center"/>
              <w:rPr>
                <w:b/>
                <w:b/>
                <w:color w:val="000000"/>
                <w:sz w:val="20"/>
                <w:szCs w:val="20"/>
              </w:rPr>
            </w:pPr>
            <w:r>
              <w:rPr>
                <w:b/>
                <w:color w:val="000000"/>
                <w:sz w:val="20"/>
                <w:szCs w:val="20"/>
              </w:rPr>
              <w:t>rezultata</w:t>
            </w:r>
          </w:p>
        </w:tc>
        <w:tc>
          <w:tcPr>
            <w:tcW w:w="2126" w:type="dxa"/>
            <w:tcBorders>
              <w:top w:val="single" w:sz="4" w:space="0" w:color="000000"/>
              <w:bottom w:val="single" w:sz="4" w:space="0" w:color="000000"/>
              <w:right w:val="single" w:sz="4" w:space="0" w:color="000000"/>
            </w:tcBorders>
            <w:shd w:color="auto" w:fill="auto" w:val="clear"/>
            <w:vAlign w:val="center"/>
          </w:tcPr>
          <w:p>
            <w:pPr>
              <w:pStyle w:val="Normal"/>
              <w:widowControl w:val="false"/>
              <w:jc w:val="center"/>
              <w:rPr>
                <w:b/>
                <w:b/>
                <w:color w:val="000000"/>
                <w:sz w:val="20"/>
                <w:szCs w:val="20"/>
              </w:rPr>
            </w:pPr>
            <w:r>
              <w:rPr>
                <w:b/>
                <w:color w:val="000000"/>
                <w:sz w:val="20"/>
                <w:szCs w:val="20"/>
              </w:rPr>
              <w:t>Definicija pokazatelja</w:t>
            </w:r>
          </w:p>
        </w:tc>
        <w:tc>
          <w:tcPr>
            <w:tcW w:w="1133" w:type="dxa"/>
            <w:tcBorders>
              <w:top w:val="single" w:sz="4" w:space="0" w:color="000000"/>
              <w:bottom w:val="single" w:sz="4" w:space="0" w:color="000000"/>
              <w:right w:val="single" w:sz="4" w:space="0" w:color="000000"/>
            </w:tcBorders>
            <w:shd w:color="auto" w:fill="auto" w:val="clear"/>
            <w:vAlign w:val="center"/>
          </w:tcPr>
          <w:p>
            <w:pPr>
              <w:pStyle w:val="Normal"/>
              <w:widowControl w:val="false"/>
              <w:jc w:val="center"/>
              <w:rPr>
                <w:b/>
                <w:b/>
                <w:color w:val="000000"/>
                <w:sz w:val="20"/>
                <w:szCs w:val="20"/>
              </w:rPr>
            </w:pPr>
            <w:r>
              <w:rPr>
                <w:b/>
                <w:color w:val="000000"/>
                <w:sz w:val="20"/>
                <w:szCs w:val="20"/>
              </w:rPr>
              <w:t>Jedinica</w:t>
            </w:r>
          </w:p>
        </w:tc>
        <w:tc>
          <w:tcPr>
            <w:tcW w:w="156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b/>
                <w:b/>
                <w:color w:val="000000"/>
                <w:sz w:val="20"/>
                <w:szCs w:val="20"/>
              </w:rPr>
            </w:pPr>
            <w:r>
              <w:rPr>
                <w:b/>
                <w:color w:val="000000"/>
                <w:sz w:val="20"/>
                <w:szCs w:val="20"/>
              </w:rPr>
              <w:t>Polazna vrijednost 2021.</w:t>
            </w:r>
          </w:p>
        </w:tc>
        <w:tc>
          <w:tcPr>
            <w:tcW w:w="1559" w:type="dxa"/>
            <w:tcBorders>
              <w:top w:val="single" w:sz="4" w:space="0" w:color="000000"/>
              <w:bottom w:val="single" w:sz="4" w:space="0" w:color="000000"/>
              <w:right w:val="single" w:sz="4" w:space="0" w:color="000000"/>
            </w:tcBorders>
            <w:shd w:color="auto" w:fill="auto" w:val="clear"/>
            <w:vAlign w:val="center"/>
          </w:tcPr>
          <w:p>
            <w:pPr>
              <w:pStyle w:val="Normal"/>
              <w:widowControl w:val="false"/>
              <w:jc w:val="center"/>
              <w:rPr>
                <w:b/>
                <w:b/>
                <w:color w:val="000000"/>
                <w:sz w:val="20"/>
                <w:szCs w:val="20"/>
              </w:rPr>
            </w:pPr>
            <w:r>
              <w:rPr>
                <w:b/>
                <w:color w:val="000000"/>
                <w:sz w:val="20"/>
                <w:szCs w:val="20"/>
              </w:rPr>
              <w:t>Ciljana vrijednost</w:t>
            </w:r>
          </w:p>
          <w:p>
            <w:pPr>
              <w:pStyle w:val="Normal"/>
              <w:widowControl w:val="false"/>
              <w:jc w:val="center"/>
              <w:rPr>
                <w:b/>
                <w:b/>
                <w:color w:val="000000"/>
                <w:sz w:val="20"/>
                <w:szCs w:val="20"/>
              </w:rPr>
            </w:pPr>
            <w:r>
              <w:rPr>
                <w:b/>
                <w:color w:val="000000"/>
                <w:sz w:val="20"/>
                <w:szCs w:val="20"/>
              </w:rPr>
              <w:t>2022.</w:t>
            </w:r>
          </w:p>
        </w:tc>
        <w:tc>
          <w:tcPr>
            <w:tcW w:w="1417" w:type="dxa"/>
            <w:tcBorders>
              <w:top w:val="single" w:sz="4" w:space="0" w:color="000000"/>
              <w:bottom w:val="single" w:sz="4" w:space="0" w:color="000000"/>
              <w:right w:val="single" w:sz="4" w:space="0" w:color="000000"/>
            </w:tcBorders>
            <w:shd w:color="auto" w:fill="auto" w:val="clear"/>
            <w:vAlign w:val="center"/>
          </w:tcPr>
          <w:p>
            <w:pPr>
              <w:pStyle w:val="Normal"/>
              <w:widowControl w:val="false"/>
              <w:jc w:val="center"/>
              <w:rPr>
                <w:b/>
                <w:b/>
                <w:color w:val="000000"/>
                <w:sz w:val="20"/>
                <w:szCs w:val="20"/>
              </w:rPr>
            </w:pPr>
            <w:r>
              <w:rPr>
                <w:b/>
                <w:color w:val="000000"/>
                <w:sz w:val="20"/>
                <w:szCs w:val="20"/>
              </w:rPr>
              <w:t>Ostvarena vrijednost</w:t>
            </w:r>
          </w:p>
          <w:p>
            <w:pPr>
              <w:pStyle w:val="Normal"/>
              <w:widowControl w:val="false"/>
              <w:jc w:val="center"/>
              <w:rPr>
                <w:b/>
                <w:b/>
                <w:color w:val="000000"/>
                <w:sz w:val="20"/>
                <w:szCs w:val="20"/>
              </w:rPr>
            </w:pPr>
            <w:r>
              <w:rPr>
                <w:b/>
                <w:color w:val="000000"/>
                <w:sz w:val="20"/>
                <w:szCs w:val="20"/>
              </w:rPr>
              <w:t>2022.</w:t>
            </w:r>
          </w:p>
        </w:tc>
      </w:tr>
      <w:tr>
        <w:trPr>
          <w:trHeight w:val="564" w:hRule="atLeast"/>
        </w:trPr>
        <w:tc>
          <w:tcPr>
            <w:tcW w:w="1858"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rPr>
                <w:b/>
                <w:b/>
                <w:color w:val="000000"/>
                <w:sz w:val="20"/>
                <w:szCs w:val="20"/>
              </w:rPr>
            </w:pPr>
            <w:r>
              <w:rPr>
                <w:b/>
                <w:color w:val="000000"/>
                <w:sz w:val="20"/>
                <w:szCs w:val="20"/>
              </w:rPr>
              <w:t>A113801</w:t>
            </w:r>
          </w:p>
          <w:p>
            <w:pPr>
              <w:pStyle w:val="Normal"/>
              <w:widowControl w:val="false"/>
              <w:rPr>
                <w:color w:val="000000"/>
                <w:sz w:val="20"/>
                <w:szCs w:val="20"/>
              </w:rPr>
            </w:pPr>
            <w:r>
              <w:rPr>
                <w:b/>
                <w:color w:val="000000"/>
                <w:sz w:val="20"/>
                <w:szCs w:val="20"/>
              </w:rPr>
              <w:t xml:space="preserve">- </w:t>
            </w:r>
            <w:r>
              <w:rPr>
                <w:color w:val="000000"/>
                <w:sz w:val="20"/>
                <w:szCs w:val="20"/>
              </w:rPr>
              <w:t>iskazana potreba za cjelodnevnom nastavom</w:t>
            </w:r>
          </w:p>
        </w:tc>
        <w:tc>
          <w:tcPr>
            <w:tcW w:w="2126" w:type="dxa"/>
            <w:tcBorders>
              <w:top w:val="single" w:sz="4" w:space="0" w:color="000000"/>
              <w:bottom w:val="single" w:sz="4" w:space="0" w:color="000000"/>
              <w:right w:val="single" w:sz="4" w:space="0" w:color="000000"/>
            </w:tcBorders>
            <w:shd w:color="auto" w:fill="auto" w:val="clear"/>
            <w:vAlign w:val="center"/>
          </w:tcPr>
          <w:p>
            <w:pPr>
              <w:pStyle w:val="Normal"/>
              <w:widowControl w:val="false"/>
              <w:rPr>
                <w:color w:val="000000"/>
                <w:sz w:val="20"/>
                <w:szCs w:val="20"/>
              </w:rPr>
            </w:pPr>
            <w:r>
              <w:rPr>
                <w:color w:val="000000"/>
                <w:sz w:val="20"/>
                <w:szCs w:val="20"/>
              </w:rPr>
              <w:t>Broj upisnih učenika u Program PB-a  1. – 4. razreda</w:t>
            </w:r>
          </w:p>
        </w:tc>
        <w:tc>
          <w:tcPr>
            <w:tcW w:w="1133" w:type="dxa"/>
            <w:tcBorders>
              <w:top w:val="single" w:sz="4" w:space="0" w:color="000000"/>
              <w:bottom w:val="single" w:sz="4" w:space="0" w:color="000000"/>
              <w:right w:val="single" w:sz="4" w:space="0" w:color="000000"/>
            </w:tcBorders>
            <w:shd w:color="auto" w:fill="auto" w:val="clear"/>
            <w:vAlign w:val="center"/>
          </w:tcPr>
          <w:p>
            <w:pPr>
              <w:pStyle w:val="Normal"/>
              <w:widowControl w:val="false"/>
              <w:jc w:val="center"/>
              <w:rPr>
                <w:color w:val="000000"/>
                <w:sz w:val="20"/>
                <w:szCs w:val="20"/>
              </w:rPr>
            </w:pPr>
            <w:r>
              <w:rPr>
                <w:color w:val="000000"/>
                <w:sz w:val="20"/>
                <w:szCs w:val="20"/>
              </w:rPr>
              <w:t>Broj upisanih učenika</w:t>
            </w:r>
          </w:p>
        </w:tc>
        <w:tc>
          <w:tcPr>
            <w:tcW w:w="156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color w:val="000000"/>
                <w:sz w:val="20"/>
                <w:szCs w:val="20"/>
              </w:rPr>
            </w:pPr>
            <w:r>
              <w:rPr>
                <w:color w:val="000000"/>
                <w:sz w:val="20"/>
                <w:szCs w:val="20"/>
              </w:rPr>
              <w:t>70</w:t>
            </w:r>
          </w:p>
        </w:tc>
        <w:tc>
          <w:tcPr>
            <w:tcW w:w="1559" w:type="dxa"/>
            <w:tcBorders>
              <w:top w:val="single" w:sz="4" w:space="0" w:color="000000"/>
              <w:bottom w:val="single" w:sz="4" w:space="0" w:color="000000"/>
              <w:right w:val="single" w:sz="4" w:space="0" w:color="000000"/>
            </w:tcBorders>
            <w:shd w:color="auto" w:fill="auto" w:val="clear"/>
            <w:vAlign w:val="center"/>
          </w:tcPr>
          <w:p>
            <w:pPr>
              <w:pStyle w:val="Normal"/>
              <w:widowControl w:val="false"/>
              <w:jc w:val="center"/>
              <w:rPr>
                <w:color w:val="000000"/>
                <w:sz w:val="20"/>
                <w:szCs w:val="20"/>
              </w:rPr>
            </w:pPr>
            <w:r>
              <w:rPr>
                <w:color w:val="000000"/>
                <w:sz w:val="20"/>
                <w:szCs w:val="20"/>
              </w:rPr>
              <w:t>85</w:t>
            </w:r>
          </w:p>
        </w:tc>
        <w:tc>
          <w:tcPr>
            <w:tcW w:w="1417" w:type="dxa"/>
            <w:tcBorders>
              <w:top w:val="single" w:sz="4" w:space="0" w:color="000000"/>
              <w:bottom w:val="single" w:sz="4" w:space="0" w:color="000000"/>
              <w:right w:val="single" w:sz="4" w:space="0" w:color="000000"/>
            </w:tcBorders>
            <w:shd w:color="auto" w:fill="auto" w:val="clear"/>
            <w:vAlign w:val="center"/>
          </w:tcPr>
          <w:p>
            <w:pPr>
              <w:pStyle w:val="Normal"/>
              <w:widowControl w:val="false"/>
              <w:jc w:val="center"/>
              <w:rPr>
                <w:sz w:val="20"/>
                <w:szCs w:val="20"/>
              </w:rPr>
            </w:pPr>
            <w:r>
              <w:rPr>
                <w:sz w:val="20"/>
                <w:szCs w:val="20"/>
              </w:rPr>
              <w:t>78</w:t>
            </w:r>
          </w:p>
        </w:tc>
      </w:tr>
      <w:tr>
        <w:trPr>
          <w:trHeight w:val="564" w:hRule="atLeast"/>
        </w:trPr>
        <w:tc>
          <w:tcPr>
            <w:tcW w:w="1858"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rPr>
                <w:b/>
                <w:b/>
                <w:color w:val="000000"/>
                <w:sz w:val="20"/>
                <w:szCs w:val="20"/>
              </w:rPr>
            </w:pPr>
            <w:r>
              <w:rPr>
                <w:b/>
                <w:color w:val="000000"/>
                <w:sz w:val="20"/>
                <w:szCs w:val="20"/>
              </w:rPr>
              <w:t>A113814</w:t>
            </w:r>
          </w:p>
          <w:p>
            <w:pPr>
              <w:pStyle w:val="Normal"/>
              <w:widowControl w:val="false"/>
              <w:rPr>
                <w:b/>
                <w:b/>
                <w:color w:val="000000"/>
                <w:sz w:val="20"/>
                <w:szCs w:val="20"/>
              </w:rPr>
            </w:pPr>
            <w:r>
              <w:rPr>
                <w:color w:val="000000"/>
                <w:sz w:val="20"/>
                <w:szCs w:val="20"/>
              </w:rPr>
              <w:t>- broj nastavnih sati u programu „Moja Rijeka“</w:t>
            </w:r>
          </w:p>
        </w:tc>
        <w:tc>
          <w:tcPr>
            <w:tcW w:w="2126" w:type="dxa"/>
            <w:tcBorders>
              <w:top w:val="single" w:sz="4" w:space="0" w:color="000000"/>
              <w:bottom w:val="single" w:sz="4" w:space="0" w:color="000000"/>
              <w:right w:val="single" w:sz="4" w:space="0" w:color="000000"/>
            </w:tcBorders>
            <w:shd w:color="auto" w:fill="auto" w:val="clear"/>
            <w:vAlign w:val="center"/>
          </w:tcPr>
          <w:p>
            <w:pPr>
              <w:pStyle w:val="Normal"/>
              <w:widowControl w:val="false"/>
              <w:rPr>
                <w:color w:val="000000"/>
                <w:sz w:val="20"/>
                <w:szCs w:val="20"/>
              </w:rPr>
            </w:pPr>
            <w:r>
              <w:rPr>
                <w:color w:val="000000"/>
                <w:sz w:val="20"/>
                <w:szCs w:val="20"/>
              </w:rPr>
              <w:t>Upoznavanje s gradom i stvaranje povezanosti</w:t>
            </w:r>
          </w:p>
        </w:tc>
        <w:tc>
          <w:tcPr>
            <w:tcW w:w="1133" w:type="dxa"/>
            <w:tcBorders>
              <w:top w:val="single" w:sz="4" w:space="0" w:color="000000"/>
              <w:bottom w:val="single" w:sz="4" w:space="0" w:color="000000"/>
              <w:right w:val="single" w:sz="4" w:space="0" w:color="000000"/>
            </w:tcBorders>
            <w:shd w:color="auto" w:fill="auto" w:val="clear"/>
            <w:vAlign w:val="center"/>
          </w:tcPr>
          <w:p>
            <w:pPr>
              <w:pStyle w:val="Normal"/>
              <w:widowControl w:val="false"/>
              <w:jc w:val="center"/>
              <w:rPr>
                <w:color w:val="000000"/>
                <w:sz w:val="20"/>
                <w:szCs w:val="20"/>
              </w:rPr>
            </w:pPr>
            <w:r>
              <w:rPr>
                <w:color w:val="000000"/>
                <w:sz w:val="20"/>
                <w:szCs w:val="20"/>
              </w:rPr>
              <w:t>Broj realiziranih sati</w:t>
            </w:r>
          </w:p>
        </w:tc>
        <w:tc>
          <w:tcPr>
            <w:tcW w:w="156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color w:val="000000"/>
                <w:sz w:val="20"/>
                <w:szCs w:val="20"/>
              </w:rPr>
            </w:pPr>
            <w:r>
              <w:rPr>
                <w:color w:val="000000"/>
                <w:sz w:val="20"/>
                <w:szCs w:val="20"/>
              </w:rPr>
              <w:t>140</w:t>
            </w:r>
          </w:p>
        </w:tc>
        <w:tc>
          <w:tcPr>
            <w:tcW w:w="1559" w:type="dxa"/>
            <w:tcBorders>
              <w:top w:val="single" w:sz="4" w:space="0" w:color="000000"/>
              <w:bottom w:val="single" w:sz="4" w:space="0" w:color="000000"/>
              <w:right w:val="single" w:sz="4" w:space="0" w:color="000000"/>
            </w:tcBorders>
            <w:shd w:color="auto" w:fill="auto" w:val="clear"/>
            <w:vAlign w:val="center"/>
          </w:tcPr>
          <w:p>
            <w:pPr>
              <w:pStyle w:val="Normal"/>
              <w:widowControl w:val="false"/>
              <w:jc w:val="center"/>
              <w:rPr>
                <w:color w:val="000000"/>
                <w:sz w:val="20"/>
                <w:szCs w:val="20"/>
              </w:rPr>
            </w:pPr>
            <w:r>
              <w:rPr>
                <w:color w:val="000000"/>
                <w:sz w:val="20"/>
                <w:szCs w:val="20"/>
              </w:rPr>
              <w:t>140</w:t>
            </w:r>
          </w:p>
        </w:tc>
        <w:tc>
          <w:tcPr>
            <w:tcW w:w="1417" w:type="dxa"/>
            <w:tcBorders>
              <w:top w:val="single" w:sz="4" w:space="0" w:color="000000"/>
              <w:bottom w:val="single" w:sz="4" w:space="0" w:color="000000"/>
              <w:right w:val="single" w:sz="4" w:space="0" w:color="000000"/>
            </w:tcBorders>
            <w:shd w:color="auto" w:fill="auto" w:val="clear"/>
            <w:vAlign w:val="center"/>
          </w:tcPr>
          <w:p>
            <w:pPr>
              <w:pStyle w:val="Normal"/>
              <w:widowControl w:val="false"/>
              <w:jc w:val="center"/>
              <w:rPr>
                <w:sz w:val="20"/>
                <w:szCs w:val="20"/>
              </w:rPr>
            </w:pPr>
            <w:r>
              <w:rPr>
                <w:sz w:val="20"/>
                <w:szCs w:val="20"/>
              </w:rPr>
              <w:t>36</w:t>
            </w:r>
          </w:p>
        </w:tc>
      </w:tr>
      <w:tr>
        <w:trPr>
          <w:trHeight w:val="564" w:hRule="atLeast"/>
        </w:trPr>
        <w:tc>
          <w:tcPr>
            <w:tcW w:w="1858"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rPr>
                <w:b/>
                <w:b/>
                <w:color w:val="000000"/>
                <w:sz w:val="20"/>
                <w:szCs w:val="20"/>
              </w:rPr>
            </w:pPr>
            <w:r>
              <w:rPr>
                <w:b/>
                <w:color w:val="000000"/>
                <w:sz w:val="20"/>
                <w:szCs w:val="20"/>
              </w:rPr>
              <w:t>A113821</w:t>
            </w:r>
          </w:p>
          <w:p>
            <w:pPr>
              <w:pStyle w:val="Normal"/>
              <w:widowControl w:val="false"/>
              <w:rPr>
                <w:b/>
                <w:b/>
                <w:color w:val="000000"/>
                <w:sz w:val="20"/>
                <w:szCs w:val="20"/>
              </w:rPr>
            </w:pPr>
            <w:r>
              <w:rPr>
                <w:color w:val="000000"/>
                <w:sz w:val="20"/>
                <w:szCs w:val="20"/>
              </w:rPr>
              <w:t>- broj nastavnih sati u programu  „Građanski odgoj i obrazovanje“</w:t>
            </w:r>
          </w:p>
        </w:tc>
        <w:tc>
          <w:tcPr>
            <w:tcW w:w="2126" w:type="dxa"/>
            <w:tcBorders>
              <w:top w:val="single" w:sz="4" w:space="0" w:color="000000"/>
              <w:bottom w:val="single" w:sz="4" w:space="0" w:color="000000"/>
              <w:right w:val="single" w:sz="4" w:space="0" w:color="000000"/>
            </w:tcBorders>
            <w:shd w:color="auto" w:fill="auto" w:val="clear"/>
            <w:vAlign w:val="center"/>
          </w:tcPr>
          <w:p>
            <w:pPr>
              <w:pStyle w:val="Normal"/>
              <w:widowControl w:val="false"/>
              <w:rPr>
                <w:color w:val="000000"/>
                <w:sz w:val="20"/>
                <w:szCs w:val="20"/>
              </w:rPr>
            </w:pPr>
            <w:r>
              <w:rPr>
                <w:color w:val="000000"/>
                <w:sz w:val="20"/>
                <w:szCs w:val="20"/>
              </w:rPr>
              <w:t>Poticanje stvaranja odgovornog građanina RH</w:t>
            </w:r>
          </w:p>
        </w:tc>
        <w:tc>
          <w:tcPr>
            <w:tcW w:w="1133" w:type="dxa"/>
            <w:tcBorders>
              <w:top w:val="single" w:sz="4" w:space="0" w:color="000000"/>
              <w:bottom w:val="single" w:sz="4" w:space="0" w:color="000000"/>
              <w:right w:val="single" w:sz="4" w:space="0" w:color="000000"/>
            </w:tcBorders>
            <w:shd w:color="auto" w:fill="auto" w:val="clear"/>
            <w:vAlign w:val="center"/>
          </w:tcPr>
          <w:p>
            <w:pPr>
              <w:pStyle w:val="Normal"/>
              <w:widowControl w:val="false"/>
              <w:jc w:val="center"/>
              <w:rPr>
                <w:color w:val="000000"/>
                <w:sz w:val="20"/>
                <w:szCs w:val="20"/>
              </w:rPr>
            </w:pPr>
            <w:r>
              <w:rPr>
                <w:color w:val="000000"/>
                <w:sz w:val="20"/>
                <w:szCs w:val="20"/>
              </w:rPr>
              <w:t>Broj realiziranih sati</w:t>
            </w:r>
          </w:p>
        </w:tc>
        <w:tc>
          <w:tcPr>
            <w:tcW w:w="156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color w:val="000000"/>
                <w:sz w:val="20"/>
                <w:szCs w:val="20"/>
              </w:rPr>
            </w:pPr>
            <w:r>
              <w:rPr>
                <w:color w:val="000000"/>
                <w:sz w:val="20"/>
                <w:szCs w:val="20"/>
              </w:rPr>
              <w:t>140</w:t>
            </w:r>
          </w:p>
        </w:tc>
        <w:tc>
          <w:tcPr>
            <w:tcW w:w="1559" w:type="dxa"/>
            <w:tcBorders>
              <w:top w:val="single" w:sz="4" w:space="0" w:color="000000"/>
              <w:bottom w:val="single" w:sz="4" w:space="0" w:color="000000"/>
              <w:right w:val="single" w:sz="4" w:space="0" w:color="000000"/>
            </w:tcBorders>
            <w:shd w:color="auto" w:fill="auto" w:val="clear"/>
            <w:vAlign w:val="center"/>
          </w:tcPr>
          <w:p>
            <w:pPr>
              <w:pStyle w:val="Normal"/>
              <w:widowControl w:val="false"/>
              <w:jc w:val="center"/>
              <w:rPr>
                <w:color w:val="000000"/>
                <w:sz w:val="20"/>
                <w:szCs w:val="20"/>
              </w:rPr>
            </w:pPr>
            <w:r>
              <w:rPr>
                <w:color w:val="000000"/>
                <w:sz w:val="20"/>
                <w:szCs w:val="20"/>
              </w:rPr>
              <w:t>140</w:t>
            </w:r>
          </w:p>
        </w:tc>
        <w:tc>
          <w:tcPr>
            <w:tcW w:w="1417" w:type="dxa"/>
            <w:tcBorders>
              <w:top w:val="single" w:sz="4" w:space="0" w:color="000000"/>
              <w:bottom w:val="single" w:sz="4" w:space="0" w:color="000000"/>
              <w:right w:val="single" w:sz="4" w:space="0" w:color="000000"/>
            </w:tcBorders>
            <w:shd w:color="auto" w:fill="auto" w:val="clear"/>
            <w:vAlign w:val="center"/>
          </w:tcPr>
          <w:p>
            <w:pPr>
              <w:pStyle w:val="Normal"/>
              <w:widowControl w:val="false"/>
              <w:jc w:val="center"/>
              <w:rPr>
                <w:sz w:val="20"/>
                <w:szCs w:val="20"/>
              </w:rPr>
            </w:pPr>
            <w:r>
              <w:rPr>
                <w:sz w:val="20"/>
                <w:szCs w:val="20"/>
              </w:rPr>
              <w:t>85</w:t>
            </w:r>
          </w:p>
        </w:tc>
      </w:tr>
    </w:tbl>
    <w:p>
      <w:pPr>
        <w:pStyle w:val="Normal"/>
        <w:spacing w:lineRule="auto" w:line="276"/>
        <w:jc w:val="both"/>
        <w:rPr/>
      </w:pPr>
      <w:r>
        <w:rPr/>
        <w:t>U 2022. godini upisano je veći broj  učenika razredne nastave u program Produženog boravka  .  Za programe, Moja Rijeka i Građanski odgoj, realiziran je manji broj sati zbog  uključivanja učenika u raznolike izvannastavne aktivnosti i tjednog rasporeda koji onemogućuje učestalu projektnu nastavu.</w:t>
      </w:r>
    </w:p>
    <w:p>
      <w:pPr>
        <w:pStyle w:val="Normal"/>
        <w:spacing w:lineRule="auto" w:line="276"/>
        <w:jc w:val="both"/>
        <w:rPr/>
      </w:pPr>
      <w:r>
        <w:rPr/>
      </w:r>
    </w:p>
    <w:tbl>
      <w:tblPr>
        <w:tblW w:w="9654" w:type="dxa"/>
        <w:jc w:val="left"/>
        <w:tblInd w:w="93" w:type="dxa"/>
        <w:tblLayout w:type="fixed"/>
        <w:tblCellMar>
          <w:top w:w="0" w:type="dxa"/>
          <w:left w:w="108" w:type="dxa"/>
          <w:bottom w:w="0" w:type="dxa"/>
          <w:right w:w="108" w:type="dxa"/>
        </w:tblCellMar>
        <w:tblLook w:firstRow="1" w:noVBand="1" w:lastRow="0" w:firstColumn="1" w:lastColumn="0" w:noHBand="0" w:val="04a0"/>
      </w:tblPr>
      <w:tblGrid>
        <w:gridCol w:w="9654"/>
      </w:tblGrid>
      <w:tr>
        <w:trPr>
          <w:trHeight w:val="266" w:hRule="atLeast"/>
        </w:trPr>
        <w:tc>
          <w:tcPr>
            <w:tcW w:w="9654" w:type="dxa"/>
            <w:tcBorders>
              <w:top w:val="single" w:sz="4" w:space="0" w:color="000000"/>
              <w:left w:val="single" w:sz="4" w:space="0" w:color="000000"/>
              <w:bottom w:val="single" w:sz="4" w:space="0" w:color="000000"/>
              <w:right w:val="single" w:sz="4" w:space="0" w:color="000000"/>
            </w:tcBorders>
            <w:shd w:color="auto" w:fill="D9D9D9" w:val="clear"/>
          </w:tcPr>
          <w:p>
            <w:pPr>
              <w:pStyle w:val="Normal"/>
              <w:widowControl w:val="false"/>
              <w:rPr>
                <w:b/>
                <w:b/>
                <w:bCs/>
                <w:i/>
                <w:i/>
                <w:iCs/>
              </w:rPr>
            </w:pPr>
            <w:r>
              <w:rPr>
                <w:b/>
                <w:shd w:fill="D9D9D9" w:val="clear"/>
              </w:rPr>
              <w:t>PROGRAM 1139: OSTALE PROGRAMSKE AKTIVNOSTI OSNOVNIH ŠKOLA</w:t>
            </w:r>
          </w:p>
        </w:tc>
      </w:tr>
      <w:tr>
        <w:trPr>
          <w:trHeight w:val="576" w:hRule="atLeast"/>
        </w:trPr>
        <w:tc>
          <w:tcPr>
            <w:tcW w:w="9654"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color w:val="000000"/>
              </w:rPr>
            </w:pPr>
            <w:r>
              <w:rPr>
                <w:b/>
                <w:color w:val="000000"/>
              </w:rPr>
              <w:t>Opis programa</w:t>
            </w:r>
            <w:r>
              <w:rPr>
                <w:color w:val="000000"/>
              </w:rPr>
              <w:t>: obuhvaća sve izdatke za djelatnike škole čija se plaća financira iz MZO-a</w:t>
            </w:r>
          </w:p>
          <w:p>
            <w:pPr>
              <w:pStyle w:val="Normal"/>
              <w:widowControl w:val="false"/>
              <w:rPr>
                <w:color w:val="000000"/>
              </w:rPr>
            </w:pPr>
            <w:r>
              <w:rPr>
                <w:color w:val="000000"/>
              </w:rPr>
              <w:t>i sve ostale aktivnosti koje se financiraju iz tekućih pomoći i vlastitih izvora Škole.</w:t>
            </w:r>
          </w:p>
          <w:p>
            <w:pPr>
              <w:pStyle w:val="Normal"/>
              <w:widowControl w:val="false"/>
              <w:rPr>
                <w:color w:val="000000"/>
              </w:rPr>
            </w:pPr>
            <w:r>
              <w:rPr>
                <w:color w:val="000000"/>
              </w:rPr>
            </w:r>
          </w:p>
        </w:tc>
      </w:tr>
      <w:tr>
        <w:trPr>
          <w:trHeight w:val="584" w:hRule="atLeast"/>
        </w:trPr>
        <w:tc>
          <w:tcPr>
            <w:tcW w:w="9654"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color w:val="000000"/>
              </w:rPr>
            </w:pPr>
            <w:r>
              <w:rPr>
                <w:b/>
                <w:color w:val="000000"/>
              </w:rPr>
              <w:t>Opći cilj:</w:t>
            </w:r>
            <w:r>
              <w:rPr>
                <w:color w:val="000000"/>
              </w:rPr>
              <w:t xml:space="preserve"> ostvarivanje dodatnih obrazovnih sadržaja i metoda rada</w:t>
            </w:r>
          </w:p>
          <w:p>
            <w:pPr>
              <w:pStyle w:val="Normal"/>
              <w:widowControl w:val="false"/>
              <w:rPr>
                <w:i/>
                <w:i/>
                <w:color w:val="000000"/>
              </w:rPr>
            </w:pPr>
            <w:r>
              <w:rPr>
                <w:b/>
                <w:color w:val="000000"/>
              </w:rPr>
              <w:t xml:space="preserve">Posebni cilj: </w:t>
            </w:r>
            <w:r>
              <w:rPr>
                <w:bCs/>
                <w:color w:val="000000"/>
              </w:rPr>
              <w:t>unapređenje odgojno obrazovnih sadržaja, oblika i metoda rada u svrhu zadovoljavanja različitih potreba i interesa učenika</w:t>
            </w:r>
            <w:r>
              <w:rPr>
                <w:b/>
                <w:color w:val="000000"/>
              </w:rPr>
              <w:t xml:space="preserve"> </w:t>
            </w:r>
          </w:p>
        </w:tc>
      </w:tr>
    </w:tbl>
    <w:p>
      <w:pPr>
        <w:pStyle w:val="Normal"/>
        <w:jc w:val="both"/>
        <w:rPr/>
      </w:pPr>
      <w:r>
        <w:rPr/>
      </w:r>
    </w:p>
    <w:p>
      <w:pPr>
        <w:pStyle w:val="ListParagraph"/>
        <w:numPr>
          <w:ilvl w:val="0"/>
          <w:numId w:val="5"/>
        </w:numPr>
        <w:spacing w:lineRule="auto" w:line="276"/>
        <w:jc w:val="both"/>
        <w:rPr>
          <w:b/>
          <w:b/>
        </w:rPr>
      </w:pPr>
      <w:r>
        <w:rPr>
          <w:b/>
        </w:rPr>
        <w:t>Ostvarena financijska sredstava za aktivnosti unutar programa 1139 Ostale programske aktivnosti osnovnih škola (u kunama):</w:t>
      </w:r>
    </w:p>
    <w:p>
      <w:pPr>
        <w:pStyle w:val="ListParagraph"/>
        <w:spacing w:lineRule="auto" w:line="276"/>
        <w:jc w:val="both"/>
        <w:rPr/>
      </w:pPr>
      <w:r>
        <w:rPr/>
      </w:r>
    </w:p>
    <w:tbl>
      <w:tblPr>
        <w:tblW w:w="9654" w:type="dxa"/>
        <w:jc w:val="left"/>
        <w:tblInd w:w="93" w:type="dxa"/>
        <w:tblLayout w:type="fixed"/>
        <w:tblCellMar>
          <w:top w:w="0" w:type="dxa"/>
          <w:left w:w="108" w:type="dxa"/>
          <w:bottom w:w="0" w:type="dxa"/>
          <w:right w:w="108" w:type="dxa"/>
        </w:tblCellMar>
        <w:tblLook w:firstRow="1" w:noVBand="1" w:lastRow="0" w:firstColumn="1" w:lastColumn="0" w:noHBand="0" w:val="04a0"/>
      </w:tblPr>
      <w:tblGrid>
        <w:gridCol w:w="4126"/>
        <w:gridCol w:w="1843"/>
        <w:gridCol w:w="2125"/>
        <w:gridCol w:w="1559"/>
      </w:tblGrid>
      <w:tr>
        <w:trPr>
          <w:trHeight w:val="564" w:hRule="atLeast"/>
        </w:trPr>
        <w:tc>
          <w:tcPr>
            <w:tcW w:w="412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b/>
                <w:b/>
                <w:color w:val="000000"/>
              </w:rPr>
            </w:pPr>
            <w:r>
              <w:rPr>
                <w:b/>
                <w:color w:val="000000"/>
              </w:rPr>
              <w:t>Naziv aktivnosti</w:t>
            </w:r>
          </w:p>
        </w:tc>
        <w:tc>
          <w:tcPr>
            <w:tcW w:w="1843" w:type="dxa"/>
            <w:tcBorders>
              <w:top w:val="single" w:sz="4" w:space="0" w:color="000000"/>
              <w:bottom w:val="single" w:sz="4" w:space="0" w:color="000000"/>
              <w:right w:val="single" w:sz="4" w:space="0" w:color="000000"/>
            </w:tcBorders>
            <w:shd w:color="auto" w:fill="auto" w:val="clear"/>
            <w:vAlign w:val="center"/>
          </w:tcPr>
          <w:p>
            <w:pPr>
              <w:pStyle w:val="Normal"/>
              <w:widowControl w:val="false"/>
              <w:jc w:val="center"/>
              <w:rPr>
                <w:b/>
                <w:b/>
                <w:color w:val="000000"/>
              </w:rPr>
            </w:pPr>
            <w:r>
              <w:rPr>
                <w:b/>
                <w:color w:val="000000"/>
              </w:rPr>
              <w:t>Plan</w:t>
            </w:r>
          </w:p>
          <w:p>
            <w:pPr>
              <w:pStyle w:val="Normal"/>
              <w:widowControl w:val="false"/>
              <w:jc w:val="center"/>
              <w:rPr>
                <w:b/>
                <w:b/>
                <w:color w:val="000000"/>
              </w:rPr>
            </w:pPr>
            <w:r>
              <w:rPr>
                <w:b/>
                <w:color w:val="000000"/>
              </w:rPr>
              <w:t>2022.</w:t>
            </w:r>
          </w:p>
        </w:tc>
        <w:tc>
          <w:tcPr>
            <w:tcW w:w="2125" w:type="dxa"/>
            <w:tcBorders>
              <w:top w:val="single" w:sz="4" w:space="0" w:color="000000"/>
              <w:bottom w:val="single" w:sz="4" w:space="0" w:color="000000"/>
              <w:right w:val="single" w:sz="4" w:space="0" w:color="000000"/>
            </w:tcBorders>
            <w:shd w:color="auto" w:fill="auto" w:val="clear"/>
            <w:vAlign w:val="center"/>
          </w:tcPr>
          <w:p>
            <w:pPr>
              <w:pStyle w:val="Normal"/>
              <w:widowControl w:val="false"/>
              <w:jc w:val="center"/>
              <w:rPr>
                <w:b/>
                <w:b/>
                <w:color w:val="000000"/>
              </w:rPr>
            </w:pPr>
            <w:r>
              <w:rPr>
                <w:b/>
                <w:color w:val="000000"/>
              </w:rPr>
              <w:t xml:space="preserve">Ostvareni rashodi </w:t>
            </w:r>
          </w:p>
          <w:p>
            <w:pPr>
              <w:pStyle w:val="Normal"/>
              <w:widowControl w:val="false"/>
              <w:jc w:val="center"/>
              <w:rPr>
                <w:b/>
                <w:b/>
                <w:color w:val="000000"/>
              </w:rPr>
            </w:pPr>
            <w:r>
              <w:rPr>
                <w:b/>
                <w:color w:val="000000"/>
              </w:rPr>
              <w:t>2022.</w:t>
            </w:r>
          </w:p>
        </w:tc>
        <w:tc>
          <w:tcPr>
            <w:tcW w:w="1559" w:type="dxa"/>
            <w:tcBorders>
              <w:top w:val="single" w:sz="4" w:space="0" w:color="000000"/>
              <w:bottom w:val="single" w:sz="4" w:space="0" w:color="000000"/>
              <w:right w:val="single" w:sz="4" w:space="0" w:color="000000"/>
            </w:tcBorders>
            <w:shd w:color="auto" w:fill="auto" w:val="clear"/>
            <w:vAlign w:val="center"/>
          </w:tcPr>
          <w:p>
            <w:pPr>
              <w:pStyle w:val="Normal"/>
              <w:widowControl w:val="false"/>
              <w:jc w:val="center"/>
              <w:rPr>
                <w:b/>
                <w:b/>
                <w:color w:val="000000"/>
              </w:rPr>
            </w:pPr>
            <w:r>
              <w:rPr>
                <w:b/>
                <w:color w:val="000000"/>
              </w:rPr>
              <w:t>Index</w:t>
            </w:r>
          </w:p>
        </w:tc>
      </w:tr>
      <w:tr>
        <w:trPr>
          <w:trHeight w:val="564" w:hRule="atLeast"/>
        </w:trPr>
        <w:tc>
          <w:tcPr>
            <w:tcW w:w="412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rPr>
                <w:b/>
                <w:b/>
                <w:color w:val="000000"/>
              </w:rPr>
            </w:pPr>
            <w:r>
              <w:rPr>
                <w:b/>
                <w:color w:val="000000"/>
              </w:rPr>
              <w:t xml:space="preserve">Aktivnost A113901: </w:t>
            </w:r>
            <w:r>
              <w:rPr>
                <w:color w:val="000000"/>
              </w:rPr>
              <w:t>Ostale programske aktivnosti osnovnih škola</w:t>
            </w:r>
          </w:p>
        </w:tc>
        <w:tc>
          <w:tcPr>
            <w:tcW w:w="1843" w:type="dxa"/>
            <w:tcBorders>
              <w:top w:val="single" w:sz="4" w:space="0" w:color="000000"/>
              <w:bottom w:val="single" w:sz="4" w:space="0" w:color="000000"/>
              <w:right w:val="single" w:sz="4" w:space="0" w:color="000000"/>
            </w:tcBorders>
            <w:shd w:color="auto" w:fill="auto" w:val="clear"/>
            <w:vAlign w:val="center"/>
          </w:tcPr>
          <w:p>
            <w:pPr>
              <w:pStyle w:val="Normal"/>
              <w:widowControl w:val="false"/>
              <w:jc w:val="right"/>
              <w:rPr>
                <w:color w:val="000000"/>
              </w:rPr>
            </w:pPr>
            <w:r>
              <w:rPr>
                <w:color w:val="000000"/>
              </w:rPr>
              <w:t>289.260</w:t>
            </w:r>
          </w:p>
        </w:tc>
        <w:tc>
          <w:tcPr>
            <w:tcW w:w="2125" w:type="dxa"/>
            <w:tcBorders>
              <w:top w:val="single" w:sz="4" w:space="0" w:color="000000"/>
              <w:bottom w:val="single" w:sz="4" w:space="0" w:color="000000"/>
              <w:right w:val="single" w:sz="4" w:space="0" w:color="000000"/>
            </w:tcBorders>
            <w:shd w:color="auto" w:fill="auto" w:val="clear"/>
            <w:vAlign w:val="center"/>
          </w:tcPr>
          <w:p>
            <w:pPr>
              <w:pStyle w:val="Normal"/>
              <w:widowControl w:val="false"/>
              <w:jc w:val="right"/>
              <w:rPr>
                <w:color w:val="000000"/>
              </w:rPr>
            </w:pPr>
            <w:r>
              <w:rPr>
                <w:color w:val="000000"/>
              </w:rPr>
              <w:t>100.519</w:t>
            </w:r>
          </w:p>
        </w:tc>
        <w:tc>
          <w:tcPr>
            <w:tcW w:w="1559" w:type="dxa"/>
            <w:tcBorders>
              <w:top w:val="single" w:sz="4" w:space="0" w:color="000000"/>
              <w:bottom w:val="single" w:sz="4" w:space="0" w:color="000000"/>
              <w:right w:val="single" w:sz="4" w:space="0" w:color="000000"/>
            </w:tcBorders>
            <w:shd w:color="auto" w:fill="auto" w:val="clear"/>
            <w:vAlign w:val="center"/>
          </w:tcPr>
          <w:p>
            <w:pPr>
              <w:pStyle w:val="Normal"/>
              <w:widowControl w:val="false"/>
              <w:jc w:val="right"/>
              <w:rPr>
                <w:color w:val="000000"/>
              </w:rPr>
            </w:pPr>
            <w:r>
              <w:rPr>
                <w:color w:val="000000"/>
              </w:rPr>
              <w:t>34,75%</w:t>
            </w:r>
          </w:p>
        </w:tc>
      </w:tr>
      <w:tr>
        <w:trPr>
          <w:trHeight w:val="282" w:hRule="atLeast"/>
        </w:trPr>
        <w:tc>
          <w:tcPr>
            <w:tcW w:w="412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color w:val="000000"/>
              </w:rPr>
            </w:pPr>
            <w:r>
              <w:rPr>
                <w:b/>
                <w:color w:val="000000"/>
              </w:rPr>
              <w:t>Aktivnost A113913:</w:t>
            </w:r>
            <w:r>
              <w:rPr>
                <w:color w:val="000000"/>
              </w:rPr>
              <w:t xml:space="preserve"> Udžbenici za učenike osnovnih škola</w:t>
            </w:r>
          </w:p>
        </w:tc>
        <w:tc>
          <w:tcPr>
            <w:tcW w:w="1843" w:type="dxa"/>
            <w:tcBorders>
              <w:bottom w:val="single" w:sz="4" w:space="0" w:color="000000"/>
              <w:right w:val="single" w:sz="4" w:space="0" w:color="000000"/>
            </w:tcBorders>
            <w:shd w:color="auto" w:fill="auto" w:val="clear"/>
            <w:vAlign w:val="bottom"/>
          </w:tcPr>
          <w:p>
            <w:pPr>
              <w:pStyle w:val="Normal"/>
              <w:widowControl w:val="false"/>
              <w:jc w:val="right"/>
              <w:rPr>
                <w:color w:val="000000"/>
              </w:rPr>
            </w:pPr>
            <w:r>
              <w:rPr>
                <w:color w:val="000000"/>
              </w:rPr>
              <w:t>240.000</w:t>
            </w:r>
          </w:p>
        </w:tc>
        <w:tc>
          <w:tcPr>
            <w:tcW w:w="2125" w:type="dxa"/>
            <w:tcBorders>
              <w:bottom w:val="single" w:sz="4" w:space="0" w:color="000000"/>
              <w:right w:val="single" w:sz="4" w:space="0" w:color="000000"/>
            </w:tcBorders>
            <w:shd w:color="auto" w:fill="auto" w:val="clear"/>
            <w:vAlign w:val="bottom"/>
          </w:tcPr>
          <w:p>
            <w:pPr>
              <w:pStyle w:val="Normal"/>
              <w:widowControl w:val="false"/>
              <w:jc w:val="right"/>
              <w:rPr>
                <w:color w:val="000000"/>
              </w:rPr>
            </w:pPr>
            <w:r>
              <w:rPr>
                <w:color w:val="000000"/>
              </w:rPr>
              <w:t>151.589</w:t>
            </w:r>
          </w:p>
        </w:tc>
        <w:tc>
          <w:tcPr>
            <w:tcW w:w="1559" w:type="dxa"/>
            <w:tcBorders>
              <w:bottom w:val="single" w:sz="4" w:space="0" w:color="000000"/>
              <w:right w:val="single" w:sz="4" w:space="0" w:color="000000"/>
            </w:tcBorders>
            <w:shd w:color="auto" w:fill="auto" w:val="clear"/>
            <w:vAlign w:val="bottom"/>
          </w:tcPr>
          <w:p>
            <w:pPr>
              <w:pStyle w:val="Normal"/>
              <w:widowControl w:val="false"/>
              <w:jc w:val="right"/>
              <w:rPr>
                <w:color w:val="000000"/>
              </w:rPr>
            </w:pPr>
            <w:r>
              <w:rPr>
                <w:color w:val="000000"/>
              </w:rPr>
              <w:t>63.16%</w:t>
            </w:r>
          </w:p>
        </w:tc>
      </w:tr>
      <w:tr>
        <w:trPr>
          <w:trHeight w:val="282" w:hRule="atLeast"/>
        </w:trPr>
        <w:tc>
          <w:tcPr>
            <w:tcW w:w="4126" w:type="dxa"/>
            <w:tcBorders>
              <w:top w:val="single" w:sz="4" w:space="0" w:color="000000"/>
              <w:left w:val="single" w:sz="4" w:space="0" w:color="000000"/>
              <w:bottom w:val="single" w:sz="4" w:space="0" w:color="000000"/>
              <w:right w:val="single" w:sz="4" w:space="0" w:color="000000"/>
            </w:tcBorders>
            <w:shd w:color="auto" w:fill="auto" w:val="clear"/>
          </w:tcPr>
          <w:p>
            <w:pPr>
              <w:pStyle w:val="Stilnaslova2"/>
              <w:widowControl w:val="false"/>
              <w:spacing w:before="0" w:after="0"/>
              <w:rPr>
                <w:rFonts w:ascii="Times New Roman" w:hAnsi="Times New Roman" w:cs="Times New Roman"/>
                <w:b/>
                <w:b/>
                <w:i/>
                <w:i/>
                <w:color w:val="000000"/>
                <w:sz w:val="24"/>
                <w:szCs w:val="24"/>
              </w:rPr>
            </w:pPr>
            <w:r>
              <w:rPr>
                <w:rFonts w:cs="Times New Roman" w:ascii="Times New Roman" w:hAnsi="Times New Roman"/>
                <w:i/>
                <w:color w:val="auto"/>
                <w:sz w:val="24"/>
                <w:szCs w:val="24"/>
              </w:rPr>
              <w:t>Aktivnost A113914:</w:t>
            </w:r>
            <w:r>
              <w:rPr>
                <w:rFonts w:cs="Times New Roman" w:ascii="Times New Roman" w:hAnsi="Times New Roman"/>
                <w:b/>
                <w:i/>
                <w:color w:val="auto"/>
                <w:sz w:val="24"/>
                <w:szCs w:val="24"/>
              </w:rPr>
              <w:t xml:space="preserve"> Odgojno-obrazovno, administrativno i tehničko osoblje</w:t>
            </w:r>
          </w:p>
        </w:tc>
        <w:tc>
          <w:tcPr>
            <w:tcW w:w="1843" w:type="dxa"/>
            <w:tcBorders>
              <w:bottom w:val="single" w:sz="4" w:space="0" w:color="000000"/>
              <w:right w:val="single" w:sz="4" w:space="0" w:color="000000"/>
            </w:tcBorders>
            <w:shd w:color="auto" w:fill="auto" w:val="clear"/>
            <w:vAlign w:val="bottom"/>
          </w:tcPr>
          <w:p>
            <w:pPr>
              <w:pStyle w:val="Normal"/>
              <w:widowControl w:val="false"/>
              <w:jc w:val="right"/>
              <w:rPr>
                <w:color w:val="000000"/>
              </w:rPr>
            </w:pPr>
            <w:r>
              <w:rPr>
                <w:color w:val="000000"/>
              </w:rPr>
              <w:t>8.880.521</w:t>
            </w:r>
          </w:p>
        </w:tc>
        <w:tc>
          <w:tcPr>
            <w:tcW w:w="2125" w:type="dxa"/>
            <w:tcBorders>
              <w:bottom w:val="single" w:sz="4" w:space="0" w:color="000000"/>
              <w:right w:val="single" w:sz="4" w:space="0" w:color="000000"/>
            </w:tcBorders>
            <w:shd w:color="auto" w:fill="auto" w:val="clear"/>
            <w:vAlign w:val="bottom"/>
          </w:tcPr>
          <w:p>
            <w:pPr>
              <w:pStyle w:val="Normal"/>
              <w:widowControl w:val="false"/>
              <w:jc w:val="right"/>
              <w:rPr>
                <w:color w:val="000000"/>
              </w:rPr>
            </w:pPr>
            <w:r>
              <w:rPr>
                <w:color w:val="000000"/>
              </w:rPr>
              <w:t>8.401.144</w:t>
            </w:r>
          </w:p>
        </w:tc>
        <w:tc>
          <w:tcPr>
            <w:tcW w:w="1559" w:type="dxa"/>
            <w:tcBorders>
              <w:bottom w:val="single" w:sz="4" w:space="0" w:color="000000"/>
              <w:right w:val="single" w:sz="4" w:space="0" w:color="000000"/>
            </w:tcBorders>
            <w:shd w:color="auto" w:fill="auto" w:val="clear"/>
            <w:vAlign w:val="bottom"/>
          </w:tcPr>
          <w:p>
            <w:pPr>
              <w:pStyle w:val="Normal"/>
              <w:widowControl w:val="false"/>
              <w:jc w:val="right"/>
              <w:rPr/>
            </w:pPr>
            <w:r>
              <w:rPr>
                <w:color w:val="000000"/>
              </w:rPr>
              <w:t>94,60%</w:t>
            </w:r>
          </w:p>
        </w:tc>
      </w:tr>
      <w:tr>
        <w:trPr>
          <w:trHeight w:val="282" w:hRule="atLeast"/>
        </w:trPr>
        <w:tc>
          <w:tcPr>
            <w:tcW w:w="412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color w:val="000000"/>
              </w:rPr>
            </w:pPr>
            <w:r>
              <w:rPr>
                <w:b/>
                <w:color w:val="000000"/>
              </w:rPr>
              <w:t>Aktivnost K113902:</w:t>
            </w:r>
            <w:r>
              <w:rPr>
                <w:color w:val="000000"/>
              </w:rPr>
              <w:t xml:space="preserve"> Proizvedena dugotrajna imovina osnovnih škola</w:t>
            </w:r>
          </w:p>
        </w:tc>
        <w:tc>
          <w:tcPr>
            <w:tcW w:w="1843" w:type="dxa"/>
            <w:tcBorders>
              <w:bottom w:val="single" w:sz="4" w:space="0" w:color="000000"/>
              <w:right w:val="single" w:sz="4" w:space="0" w:color="000000"/>
            </w:tcBorders>
            <w:shd w:color="auto" w:fill="auto" w:val="clear"/>
            <w:vAlign w:val="bottom"/>
          </w:tcPr>
          <w:p>
            <w:pPr>
              <w:pStyle w:val="Normal"/>
              <w:widowControl w:val="false"/>
              <w:jc w:val="right"/>
              <w:rPr>
                <w:color w:val="000000"/>
              </w:rPr>
            </w:pPr>
            <w:r>
              <w:rPr>
                <w:color w:val="000000"/>
              </w:rPr>
              <w:t>61.787</w:t>
            </w:r>
          </w:p>
        </w:tc>
        <w:tc>
          <w:tcPr>
            <w:tcW w:w="2125" w:type="dxa"/>
            <w:tcBorders>
              <w:bottom w:val="single" w:sz="4" w:space="0" w:color="000000"/>
              <w:right w:val="single" w:sz="4" w:space="0" w:color="000000"/>
            </w:tcBorders>
            <w:shd w:color="auto" w:fill="auto" w:val="clear"/>
            <w:vAlign w:val="bottom"/>
          </w:tcPr>
          <w:p>
            <w:pPr>
              <w:pStyle w:val="Normal"/>
              <w:widowControl w:val="false"/>
              <w:jc w:val="right"/>
              <w:rPr>
                <w:color w:val="000000"/>
              </w:rPr>
            </w:pPr>
            <w:r>
              <w:rPr>
                <w:color w:val="000000"/>
              </w:rPr>
              <w:t>33.558</w:t>
            </w:r>
          </w:p>
        </w:tc>
        <w:tc>
          <w:tcPr>
            <w:tcW w:w="1559" w:type="dxa"/>
            <w:tcBorders>
              <w:bottom w:val="single" w:sz="4" w:space="0" w:color="000000"/>
              <w:right w:val="single" w:sz="4" w:space="0" w:color="000000"/>
            </w:tcBorders>
            <w:shd w:color="auto" w:fill="auto" w:val="clear"/>
            <w:vAlign w:val="bottom"/>
          </w:tcPr>
          <w:p>
            <w:pPr>
              <w:pStyle w:val="Normal"/>
              <w:widowControl w:val="false"/>
              <w:jc w:val="right"/>
              <w:rPr>
                <w:color w:val="000000"/>
              </w:rPr>
            </w:pPr>
            <w:r>
              <w:rPr>
                <w:color w:val="000000"/>
              </w:rPr>
              <w:t>54.31%</w:t>
            </w:r>
          </w:p>
        </w:tc>
      </w:tr>
      <w:tr>
        <w:trPr>
          <w:trHeight w:val="128" w:hRule="atLeast"/>
        </w:trPr>
        <w:tc>
          <w:tcPr>
            <w:tcW w:w="412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b/>
                <w:b/>
                <w:color w:val="000000"/>
              </w:rPr>
            </w:pPr>
            <w:r>
              <w:rPr>
                <w:b/>
                <w:color w:val="000000"/>
              </w:rPr>
              <w:t>Aktivnost T113910:</w:t>
            </w:r>
            <w:r>
              <w:rPr>
                <w:color w:val="000000"/>
              </w:rPr>
              <w:t xml:space="preserve"> Školski medni dan</w:t>
            </w:r>
          </w:p>
        </w:tc>
        <w:tc>
          <w:tcPr>
            <w:tcW w:w="1843" w:type="dxa"/>
            <w:tcBorders>
              <w:bottom w:val="single" w:sz="4" w:space="0" w:color="000000"/>
              <w:right w:val="single" w:sz="4" w:space="0" w:color="000000"/>
            </w:tcBorders>
            <w:shd w:color="auto" w:fill="auto" w:val="clear"/>
            <w:vAlign w:val="bottom"/>
          </w:tcPr>
          <w:p>
            <w:pPr>
              <w:pStyle w:val="Normal"/>
              <w:widowControl w:val="false"/>
              <w:jc w:val="right"/>
              <w:rPr>
                <w:color w:val="000000"/>
              </w:rPr>
            </w:pPr>
            <w:r>
              <w:rPr>
                <w:color w:val="000000"/>
              </w:rPr>
              <w:t>891</w:t>
            </w:r>
          </w:p>
        </w:tc>
        <w:tc>
          <w:tcPr>
            <w:tcW w:w="2125" w:type="dxa"/>
            <w:tcBorders>
              <w:bottom w:val="single" w:sz="4" w:space="0" w:color="000000"/>
              <w:right w:val="single" w:sz="4" w:space="0" w:color="000000"/>
            </w:tcBorders>
            <w:shd w:color="auto" w:fill="auto" w:val="clear"/>
            <w:vAlign w:val="bottom"/>
          </w:tcPr>
          <w:p>
            <w:pPr>
              <w:pStyle w:val="Normal"/>
              <w:widowControl w:val="false"/>
              <w:jc w:val="right"/>
              <w:rPr>
                <w:color w:val="000000"/>
              </w:rPr>
            </w:pPr>
            <w:r>
              <w:rPr>
                <w:color w:val="000000"/>
              </w:rPr>
              <w:t>891</w:t>
            </w:r>
          </w:p>
        </w:tc>
        <w:tc>
          <w:tcPr>
            <w:tcW w:w="1559" w:type="dxa"/>
            <w:tcBorders>
              <w:bottom w:val="single" w:sz="4" w:space="0" w:color="000000"/>
              <w:right w:val="single" w:sz="4" w:space="0" w:color="000000"/>
            </w:tcBorders>
            <w:shd w:color="auto" w:fill="auto" w:val="clear"/>
            <w:vAlign w:val="bottom"/>
          </w:tcPr>
          <w:p>
            <w:pPr>
              <w:pStyle w:val="Normal"/>
              <w:widowControl w:val="false"/>
              <w:jc w:val="right"/>
              <w:rPr>
                <w:color w:val="000000"/>
              </w:rPr>
            </w:pPr>
            <w:r>
              <w:rPr>
                <w:color w:val="000000"/>
              </w:rPr>
              <w:t>100,00%</w:t>
            </w:r>
          </w:p>
        </w:tc>
      </w:tr>
      <w:tr>
        <w:trPr>
          <w:trHeight w:val="282" w:hRule="atLeast"/>
        </w:trPr>
        <w:tc>
          <w:tcPr>
            <w:tcW w:w="412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color w:val="000000"/>
              </w:rPr>
            </w:pPr>
            <w:r>
              <w:rPr>
                <w:b/>
                <w:color w:val="000000"/>
              </w:rPr>
              <w:t>Aktivnost T113904:</w:t>
            </w:r>
            <w:r>
              <w:rPr>
                <w:color w:val="000000"/>
              </w:rPr>
              <w:t xml:space="preserve"> Školska shema</w:t>
            </w:r>
          </w:p>
        </w:tc>
        <w:tc>
          <w:tcPr>
            <w:tcW w:w="1843" w:type="dxa"/>
            <w:tcBorders>
              <w:bottom w:val="single" w:sz="4" w:space="0" w:color="000000"/>
              <w:right w:val="single" w:sz="4" w:space="0" w:color="000000"/>
            </w:tcBorders>
            <w:shd w:color="auto" w:fill="auto" w:val="clear"/>
            <w:vAlign w:val="bottom"/>
          </w:tcPr>
          <w:p>
            <w:pPr>
              <w:pStyle w:val="Normal"/>
              <w:widowControl w:val="false"/>
              <w:jc w:val="right"/>
              <w:rPr>
                <w:color w:val="000000"/>
              </w:rPr>
            </w:pPr>
            <w:r>
              <w:rPr>
                <w:color w:val="000000"/>
              </w:rPr>
              <w:t>20.852</w:t>
            </w:r>
          </w:p>
        </w:tc>
        <w:tc>
          <w:tcPr>
            <w:tcW w:w="2125" w:type="dxa"/>
            <w:tcBorders>
              <w:bottom w:val="single" w:sz="4" w:space="0" w:color="000000"/>
              <w:right w:val="single" w:sz="4" w:space="0" w:color="000000"/>
            </w:tcBorders>
            <w:shd w:color="auto" w:fill="auto" w:val="clear"/>
            <w:vAlign w:val="bottom"/>
          </w:tcPr>
          <w:p>
            <w:pPr>
              <w:pStyle w:val="Normal"/>
              <w:widowControl w:val="false"/>
              <w:jc w:val="right"/>
              <w:rPr>
                <w:color w:val="000000"/>
              </w:rPr>
            </w:pPr>
            <w:r>
              <w:rPr>
                <w:color w:val="000000"/>
              </w:rPr>
              <w:t>0,00</w:t>
            </w:r>
          </w:p>
        </w:tc>
        <w:tc>
          <w:tcPr>
            <w:tcW w:w="1559" w:type="dxa"/>
            <w:tcBorders>
              <w:bottom w:val="single" w:sz="4" w:space="0" w:color="000000"/>
              <w:right w:val="single" w:sz="4" w:space="0" w:color="000000"/>
            </w:tcBorders>
            <w:shd w:color="auto" w:fill="auto" w:val="clear"/>
            <w:vAlign w:val="bottom"/>
          </w:tcPr>
          <w:p>
            <w:pPr>
              <w:pStyle w:val="Normal"/>
              <w:widowControl w:val="false"/>
              <w:jc w:val="right"/>
              <w:rPr/>
            </w:pPr>
            <w:r>
              <w:rPr>
                <w:color w:val="000000"/>
              </w:rPr>
              <w:t>00,00%</w:t>
            </w:r>
          </w:p>
        </w:tc>
      </w:tr>
      <w:tr>
        <w:trPr>
          <w:trHeight w:val="282" w:hRule="atLeast"/>
        </w:trPr>
        <w:tc>
          <w:tcPr>
            <w:tcW w:w="412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b/>
                <w:b/>
                <w:color w:val="000000"/>
              </w:rPr>
            </w:pPr>
            <w:r>
              <w:rPr>
                <w:b/>
                <w:color w:val="000000"/>
              </w:rPr>
              <w:t xml:space="preserve">Aktivnost T113911: </w:t>
            </w:r>
            <w:r>
              <w:rPr>
                <w:color w:val="000000"/>
              </w:rPr>
              <w:t>Podrška provedbi cjelovite kurikularne reforme</w:t>
            </w:r>
          </w:p>
        </w:tc>
        <w:tc>
          <w:tcPr>
            <w:tcW w:w="1843" w:type="dxa"/>
            <w:tcBorders>
              <w:bottom w:val="single" w:sz="4" w:space="0" w:color="000000"/>
              <w:right w:val="single" w:sz="4" w:space="0" w:color="000000"/>
            </w:tcBorders>
            <w:shd w:color="auto" w:fill="auto" w:val="clear"/>
            <w:vAlign w:val="bottom"/>
          </w:tcPr>
          <w:p>
            <w:pPr>
              <w:pStyle w:val="Normal"/>
              <w:widowControl w:val="false"/>
              <w:jc w:val="right"/>
              <w:rPr>
                <w:color w:val="000000"/>
              </w:rPr>
            </w:pPr>
            <w:r>
              <w:rPr>
                <w:color w:val="000000"/>
              </w:rPr>
              <w:t>4.000</w:t>
            </w:r>
          </w:p>
        </w:tc>
        <w:tc>
          <w:tcPr>
            <w:tcW w:w="2125" w:type="dxa"/>
            <w:tcBorders>
              <w:bottom w:val="single" w:sz="4" w:space="0" w:color="000000"/>
              <w:right w:val="single" w:sz="4" w:space="0" w:color="000000"/>
            </w:tcBorders>
            <w:shd w:color="auto" w:fill="auto" w:val="clear"/>
            <w:vAlign w:val="bottom"/>
          </w:tcPr>
          <w:p>
            <w:pPr>
              <w:pStyle w:val="Normal"/>
              <w:widowControl w:val="false"/>
              <w:jc w:val="right"/>
              <w:rPr>
                <w:color w:val="000000"/>
              </w:rPr>
            </w:pPr>
            <w:r>
              <w:rPr>
                <w:color w:val="000000"/>
              </w:rPr>
              <w:t>3.999</w:t>
            </w:r>
          </w:p>
        </w:tc>
        <w:tc>
          <w:tcPr>
            <w:tcW w:w="1559" w:type="dxa"/>
            <w:tcBorders>
              <w:bottom w:val="single" w:sz="4" w:space="0" w:color="000000"/>
              <w:right w:val="single" w:sz="4" w:space="0" w:color="000000"/>
            </w:tcBorders>
            <w:shd w:color="auto" w:fill="auto" w:val="clear"/>
            <w:vAlign w:val="bottom"/>
          </w:tcPr>
          <w:p>
            <w:pPr>
              <w:pStyle w:val="Normal"/>
              <w:widowControl w:val="false"/>
              <w:jc w:val="right"/>
              <w:rPr>
                <w:color w:val="000000"/>
              </w:rPr>
            </w:pPr>
            <w:r>
              <w:rPr>
                <w:color w:val="000000"/>
              </w:rPr>
              <w:t>99,98%</w:t>
            </w:r>
          </w:p>
        </w:tc>
      </w:tr>
      <w:tr>
        <w:trPr>
          <w:trHeight w:val="282" w:hRule="atLeast"/>
        </w:trPr>
        <w:tc>
          <w:tcPr>
            <w:tcW w:w="412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b/>
                <w:b/>
                <w:color w:val="000000"/>
              </w:rPr>
            </w:pPr>
            <w:r>
              <w:rPr>
                <w:b/>
                <w:color w:val="000000"/>
              </w:rPr>
              <w:t>Aktivnost T113917 Erasmus KA1</w:t>
            </w:r>
          </w:p>
        </w:tc>
        <w:tc>
          <w:tcPr>
            <w:tcW w:w="1843" w:type="dxa"/>
            <w:tcBorders>
              <w:bottom w:val="single" w:sz="4" w:space="0" w:color="000000"/>
              <w:right w:val="single" w:sz="4" w:space="0" w:color="000000"/>
            </w:tcBorders>
            <w:shd w:color="auto" w:fill="auto" w:val="clear"/>
            <w:vAlign w:val="bottom"/>
          </w:tcPr>
          <w:p>
            <w:pPr>
              <w:pStyle w:val="Normal"/>
              <w:widowControl w:val="false"/>
              <w:jc w:val="right"/>
              <w:rPr>
                <w:color w:val="000000"/>
              </w:rPr>
            </w:pPr>
            <w:r>
              <w:rPr>
                <w:color w:val="000000"/>
              </w:rPr>
              <w:t>335.000</w:t>
            </w:r>
          </w:p>
        </w:tc>
        <w:tc>
          <w:tcPr>
            <w:tcW w:w="2125" w:type="dxa"/>
            <w:tcBorders>
              <w:bottom w:val="single" w:sz="4" w:space="0" w:color="000000"/>
              <w:right w:val="single" w:sz="4" w:space="0" w:color="000000"/>
            </w:tcBorders>
            <w:shd w:color="auto" w:fill="auto" w:val="clear"/>
            <w:vAlign w:val="bottom"/>
          </w:tcPr>
          <w:p>
            <w:pPr>
              <w:pStyle w:val="Normal"/>
              <w:widowControl w:val="false"/>
              <w:jc w:val="right"/>
              <w:rPr>
                <w:color w:val="000000"/>
              </w:rPr>
            </w:pPr>
            <w:r>
              <w:rPr>
                <w:color w:val="000000"/>
              </w:rPr>
              <w:t>320.933</w:t>
            </w:r>
          </w:p>
        </w:tc>
        <w:tc>
          <w:tcPr>
            <w:tcW w:w="1559" w:type="dxa"/>
            <w:tcBorders>
              <w:bottom w:val="single" w:sz="4" w:space="0" w:color="000000"/>
              <w:right w:val="single" w:sz="4" w:space="0" w:color="000000"/>
            </w:tcBorders>
            <w:shd w:color="auto" w:fill="auto" w:val="clear"/>
            <w:vAlign w:val="bottom"/>
          </w:tcPr>
          <w:p>
            <w:pPr>
              <w:pStyle w:val="Normal"/>
              <w:widowControl w:val="false"/>
              <w:jc w:val="right"/>
              <w:rPr>
                <w:color w:val="000000"/>
              </w:rPr>
            </w:pPr>
            <w:r>
              <w:rPr>
                <w:color w:val="000000"/>
              </w:rPr>
              <w:t>95,80%</w:t>
            </w:r>
          </w:p>
        </w:tc>
      </w:tr>
      <w:tr>
        <w:trPr>
          <w:trHeight w:val="282" w:hRule="atLeast"/>
        </w:trPr>
        <w:tc>
          <w:tcPr>
            <w:tcW w:w="412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b/>
                <w:b/>
                <w:color w:val="000000"/>
              </w:rPr>
            </w:pPr>
            <w:r>
              <w:rPr>
                <w:b/>
                <w:color w:val="000000"/>
              </w:rPr>
              <w:t>Aktivnost T113918 Erasmus KA2</w:t>
            </w:r>
          </w:p>
        </w:tc>
        <w:tc>
          <w:tcPr>
            <w:tcW w:w="1843" w:type="dxa"/>
            <w:tcBorders>
              <w:bottom w:val="single" w:sz="4" w:space="0" w:color="000000"/>
              <w:right w:val="single" w:sz="4" w:space="0" w:color="000000"/>
            </w:tcBorders>
            <w:shd w:color="auto" w:fill="auto" w:val="clear"/>
            <w:vAlign w:val="bottom"/>
          </w:tcPr>
          <w:p>
            <w:pPr>
              <w:pStyle w:val="Normal"/>
              <w:widowControl w:val="false"/>
              <w:jc w:val="right"/>
              <w:rPr>
                <w:color w:val="000000"/>
              </w:rPr>
            </w:pPr>
            <w:r>
              <w:rPr>
                <w:color w:val="000000"/>
              </w:rPr>
              <w:t>225.000</w:t>
            </w:r>
          </w:p>
        </w:tc>
        <w:tc>
          <w:tcPr>
            <w:tcW w:w="2125" w:type="dxa"/>
            <w:tcBorders>
              <w:bottom w:val="single" w:sz="4" w:space="0" w:color="000000"/>
              <w:right w:val="single" w:sz="4" w:space="0" w:color="000000"/>
            </w:tcBorders>
            <w:shd w:color="auto" w:fill="auto" w:val="clear"/>
            <w:vAlign w:val="bottom"/>
          </w:tcPr>
          <w:p>
            <w:pPr>
              <w:pStyle w:val="Normal"/>
              <w:widowControl w:val="false"/>
              <w:jc w:val="right"/>
              <w:rPr>
                <w:color w:val="000000"/>
              </w:rPr>
            </w:pPr>
            <w:r>
              <w:rPr>
                <w:color w:val="000000"/>
              </w:rPr>
              <w:t>118.609</w:t>
            </w:r>
          </w:p>
        </w:tc>
        <w:tc>
          <w:tcPr>
            <w:tcW w:w="1559" w:type="dxa"/>
            <w:tcBorders>
              <w:bottom w:val="single" w:sz="4" w:space="0" w:color="000000"/>
              <w:right w:val="single" w:sz="4" w:space="0" w:color="000000"/>
            </w:tcBorders>
            <w:shd w:color="auto" w:fill="auto" w:val="clear"/>
            <w:vAlign w:val="bottom"/>
          </w:tcPr>
          <w:p>
            <w:pPr>
              <w:pStyle w:val="Normal"/>
              <w:widowControl w:val="false"/>
              <w:jc w:val="right"/>
              <w:rPr>
                <w:color w:val="000000"/>
              </w:rPr>
            </w:pPr>
            <w:r>
              <w:rPr>
                <w:color w:val="000000"/>
              </w:rPr>
              <w:t>52,72%</w:t>
            </w:r>
          </w:p>
        </w:tc>
      </w:tr>
      <w:tr>
        <w:trPr>
          <w:trHeight w:val="282" w:hRule="atLeast"/>
        </w:trPr>
        <w:tc>
          <w:tcPr>
            <w:tcW w:w="412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b/>
                <w:b/>
                <w:color w:val="000000"/>
              </w:rPr>
            </w:pPr>
            <w:r>
              <w:rPr>
                <w:b/>
                <w:color w:val="000000"/>
              </w:rPr>
              <w:t>Aktivnost T113921 Erasmus KA2</w:t>
            </w:r>
          </w:p>
        </w:tc>
        <w:tc>
          <w:tcPr>
            <w:tcW w:w="1843" w:type="dxa"/>
            <w:tcBorders>
              <w:bottom w:val="single" w:sz="4" w:space="0" w:color="000000"/>
              <w:right w:val="single" w:sz="4" w:space="0" w:color="000000"/>
            </w:tcBorders>
            <w:shd w:color="auto" w:fill="auto" w:val="clear"/>
            <w:vAlign w:val="bottom"/>
          </w:tcPr>
          <w:p>
            <w:pPr>
              <w:pStyle w:val="Normal"/>
              <w:widowControl w:val="false"/>
              <w:jc w:val="right"/>
              <w:rPr>
                <w:color w:val="000000"/>
              </w:rPr>
            </w:pPr>
            <w:r>
              <w:rPr>
                <w:color w:val="000000"/>
              </w:rPr>
              <w:t>76.355</w:t>
            </w:r>
          </w:p>
        </w:tc>
        <w:tc>
          <w:tcPr>
            <w:tcW w:w="2125" w:type="dxa"/>
            <w:tcBorders>
              <w:bottom w:val="single" w:sz="4" w:space="0" w:color="000000"/>
              <w:right w:val="single" w:sz="4" w:space="0" w:color="000000"/>
            </w:tcBorders>
            <w:shd w:color="auto" w:fill="auto" w:val="clear"/>
            <w:vAlign w:val="bottom"/>
          </w:tcPr>
          <w:p>
            <w:pPr>
              <w:pStyle w:val="Normal"/>
              <w:widowControl w:val="false"/>
              <w:jc w:val="right"/>
              <w:rPr>
                <w:color w:val="000000"/>
              </w:rPr>
            </w:pPr>
            <w:r>
              <w:rPr>
                <w:color w:val="000000"/>
              </w:rPr>
              <w:t>37.854</w:t>
            </w:r>
          </w:p>
        </w:tc>
        <w:tc>
          <w:tcPr>
            <w:tcW w:w="1559" w:type="dxa"/>
            <w:tcBorders>
              <w:bottom w:val="single" w:sz="4" w:space="0" w:color="000000"/>
              <w:right w:val="single" w:sz="4" w:space="0" w:color="000000"/>
            </w:tcBorders>
            <w:shd w:color="auto" w:fill="auto" w:val="clear"/>
            <w:vAlign w:val="bottom"/>
          </w:tcPr>
          <w:p>
            <w:pPr>
              <w:pStyle w:val="Normal"/>
              <w:widowControl w:val="false"/>
              <w:jc w:val="right"/>
              <w:rPr>
                <w:color w:val="000000"/>
              </w:rPr>
            </w:pPr>
            <w:r>
              <w:rPr>
                <w:color w:val="000000"/>
              </w:rPr>
              <w:t>49,58%</w:t>
            </w:r>
          </w:p>
        </w:tc>
      </w:tr>
      <w:tr>
        <w:trPr>
          <w:trHeight w:val="282" w:hRule="atLeast"/>
        </w:trPr>
        <w:tc>
          <w:tcPr>
            <w:tcW w:w="412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b/>
                <w:b/>
                <w:color w:val="000000"/>
              </w:rPr>
            </w:pPr>
            <w:r>
              <w:rPr>
                <w:b/>
                <w:color w:val="000000"/>
              </w:rPr>
              <w:t>Ukupno program:</w:t>
            </w:r>
          </w:p>
        </w:tc>
        <w:tc>
          <w:tcPr>
            <w:tcW w:w="1843" w:type="dxa"/>
            <w:tcBorders>
              <w:bottom w:val="single" w:sz="4" w:space="0" w:color="000000"/>
              <w:right w:val="single" w:sz="4" w:space="0" w:color="000000"/>
            </w:tcBorders>
            <w:shd w:color="auto" w:fill="auto" w:val="clear"/>
            <w:vAlign w:val="bottom"/>
          </w:tcPr>
          <w:p>
            <w:pPr>
              <w:pStyle w:val="Normal"/>
              <w:widowControl w:val="false"/>
              <w:jc w:val="right"/>
              <w:rPr>
                <w:b/>
                <w:b/>
                <w:color w:val="000000"/>
              </w:rPr>
            </w:pPr>
            <w:r>
              <w:rPr>
                <w:b/>
                <w:color w:val="000000"/>
              </w:rPr>
              <w:t>10.133.666</w:t>
            </w:r>
          </w:p>
        </w:tc>
        <w:tc>
          <w:tcPr>
            <w:tcW w:w="2125" w:type="dxa"/>
            <w:tcBorders>
              <w:bottom w:val="single" w:sz="4" w:space="0" w:color="000000"/>
              <w:right w:val="single" w:sz="4" w:space="0" w:color="000000"/>
            </w:tcBorders>
            <w:shd w:color="auto" w:fill="auto" w:val="clear"/>
            <w:vAlign w:val="bottom"/>
          </w:tcPr>
          <w:p>
            <w:pPr>
              <w:pStyle w:val="Normal"/>
              <w:widowControl w:val="false"/>
              <w:jc w:val="right"/>
              <w:rPr>
                <w:b/>
                <w:b/>
                <w:color w:val="000000"/>
              </w:rPr>
            </w:pPr>
            <w:r>
              <w:rPr>
                <w:b/>
                <w:color w:val="000000"/>
              </w:rPr>
              <w:t>9.169.096</w:t>
            </w:r>
          </w:p>
        </w:tc>
        <w:tc>
          <w:tcPr>
            <w:tcW w:w="1559" w:type="dxa"/>
            <w:tcBorders>
              <w:bottom w:val="single" w:sz="4" w:space="0" w:color="000000"/>
              <w:right w:val="single" w:sz="4" w:space="0" w:color="000000"/>
            </w:tcBorders>
            <w:shd w:color="auto" w:fill="auto" w:val="clear"/>
          </w:tcPr>
          <w:p>
            <w:pPr>
              <w:pStyle w:val="Normal"/>
              <w:widowControl w:val="false"/>
              <w:jc w:val="right"/>
              <w:rPr/>
            </w:pPr>
            <w:r>
              <w:rPr>
                <w:color w:val="000000"/>
              </w:rPr>
              <w:t xml:space="preserve">    </w:t>
            </w:r>
            <w:r>
              <w:rPr>
                <w:color w:val="000000"/>
              </w:rPr>
              <w:t>89,55%</w:t>
            </w:r>
          </w:p>
        </w:tc>
      </w:tr>
    </w:tbl>
    <w:p>
      <w:pPr>
        <w:pStyle w:val="ListParagraph"/>
        <w:numPr>
          <w:ilvl w:val="0"/>
          <w:numId w:val="5"/>
        </w:numPr>
        <w:spacing w:lineRule="auto" w:line="276"/>
        <w:jc w:val="both"/>
        <w:rPr>
          <w:b/>
          <w:b/>
        </w:rPr>
      </w:pPr>
      <w:r>
        <w:rPr>
          <w:b/>
        </w:rPr>
        <w:t>Obrazloženje za aktivnosti unutar programa 1139 Ostale programske aktivnosti osnovnih škola</w:t>
      </w:r>
    </w:p>
    <w:p>
      <w:pPr>
        <w:pStyle w:val="Normal"/>
        <w:rPr/>
      </w:pPr>
      <w:r>
        <w:rPr/>
      </w:r>
    </w:p>
    <w:tbl>
      <w:tblPr>
        <w:tblW w:w="9654" w:type="dxa"/>
        <w:jc w:val="left"/>
        <w:tblInd w:w="93" w:type="dxa"/>
        <w:tblLayout w:type="fixed"/>
        <w:tblCellMar>
          <w:top w:w="0" w:type="dxa"/>
          <w:left w:w="108" w:type="dxa"/>
          <w:bottom w:w="0" w:type="dxa"/>
          <w:right w:w="108" w:type="dxa"/>
        </w:tblCellMar>
        <w:tblLook w:firstRow="1" w:noVBand="1" w:lastRow="0" w:firstColumn="1" w:lastColumn="0" w:noHBand="0" w:val="04a0"/>
      </w:tblPr>
      <w:tblGrid>
        <w:gridCol w:w="9654"/>
      </w:tblGrid>
      <w:tr>
        <w:trPr>
          <w:trHeight w:val="300" w:hRule="atLeast"/>
        </w:trPr>
        <w:tc>
          <w:tcPr>
            <w:tcW w:w="9654"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b/>
                <w:b/>
                <w:bCs/>
              </w:rPr>
            </w:pPr>
            <w:r>
              <w:rPr>
                <w:b/>
                <w:color w:val="000000"/>
              </w:rPr>
              <w:t>Aktivnost A113901: Ostale programske aktivnosti osnovnih škola</w:t>
            </w:r>
          </w:p>
        </w:tc>
      </w:tr>
      <w:tr>
        <w:trPr>
          <w:trHeight w:val="300" w:hRule="atLeast"/>
        </w:trPr>
        <w:tc>
          <w:tcPr>
            <w:tcW w:w="9654"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numPr>
                <w:ilvl w:val="0"/>
                <w:numId w:val="6"/>
              </w:numPr>
              <w:ind w:left="616" w:hanging="283"/>
              <w:rPr>
                <w:b/>
                <w:b/>
                <w:bCs/>
              </w:rPr>
            </w:pPr>
            <w:r>
              <w:rPr>
                <w:color w:val="000000"/>
              </w:rPr>
              <w:t xml:space="preserve">obuhvaćaju troškove izleta, rashodi za  financiranje stručnih ispita, rashodi za refundaciju prijevoza učenika s posebnim potrebama i drugo. </w:t>
            </w:r>
          </w:p>
        </w:tc>
      </w:tr>
      <w:tr>
        <w:trPr>
          <w:trHeight w:val="340" w:hRule="atLeast"/>
        </w:trPr>
        <w:tc>
          <w:tcPr>
            <w:tcW w:w="9654" w:type="dxa"/>
            <w:tcBorders>
              <w:top w:val="single" w:sz="4" w:space="0" w:color="000000"/>
              <w:left w:val="single" w:sz="4" w:space="0" w:color="000000"/>
              <w:bottom w:val="single" w:sz="4" w:space="0" w:color="000000"/>
              <w:right w:val="single" w:sz="4" w:space="0" w:color="000000"/>
            </w:tcBorders>
          </w:tcPr>
          <w:p>
            <w:pPr>
              <w:pStyle w:val="Normal"/>
              <w:widowControl w:val="false"/>
              <w:rPr/>
            </w:pPr>
            <w:r>
              <w:rPr>
                <w:b/>
              </w:rPr>
              <w:t>Aktivnost A113913:</w:t>
            </w:r>
            <w:r>
              <w:rPr/>
              <w:t xml:space="preserve"> </w:t>
            </w:r>
            <w:r>
              <w:rPr>
                <w:b/>
              </w:rPr>
              <w:t>Udžbenici za učenike osnovnih škola</w:t>
            </w:r>
          </w:p>
        </w:tc>
      </w:tr>
      <w:tr>
        <w:trPr>
          <w:trHeight w:val="340" w:hRule="atLeast"/>
        </w:trPr>
        <w:tc>
          <w:tcPr>
            <w:tcW w:w="9654" w:type="dxa"/>
            <w:tcBorders>
              <w:top w:val="single" w:sz="4" w:space="0" w:color="000000"/>
              <w:left w:val="single" w:sz="4" w:space="0" w:color="000000"/>
              <w:bottom w:val="single" w:sz="4" w:space="0" w:color="000000"/>
              <w:right w:val="single" w:sz="4" w:space="0" w:color="000000"/>
            </w:tcBorders>
          </w:tcPr>
          <w:p>
            <w:pPr>
              <w:pStyle w:val="Normal"/>
              <w:widowControl w:val="false"/>
              <w:numPr>
                <w:ilvl w:val="0"/>
                <w:numId w:val="6"/>
              </w:numPr>
              <w:ind w:left="616" w:hanging="283"/>
              <w:rPr/>
            </w:pPr>
            <w:r>
              <w:rPr/>
              <w:t xml:space="preserve">mjera MZO nabave udžbenika za sve učenika osnovnih škola  u sklopu provedbe kurikularne reforme. </w:t>
            </w:r>
            <w:r>
              <w:rPr>
                <w:color w:val="000000"/>
              </w:rPr>
              <w:t>Ostvareni rashodi umanjeni su u odnosu na planirane zbog manjeg broja učenika.</w:t>
            </w:r>
          </w:p>
        </w:tc>
      </w:tr>
      <w:tr>
        <w:trPr>
          <w:trHeight w:val="340" w:hRule="atLeast"/>
        </w:trPr>
        <w:tc>
          <w:tcPr>
            <w:tcW w:w="9654" w:type="dxa"/>
            <w:tcBorders>
              <w:top w:val="single" w:sz="4" w:space="0" w:color="000000"/>
              <w:left w:val="single" w:sz="4" w:space="0" w:color="000000"/>
              <w:bottom w:val="single" w:sz="4" w:space="0" w:color="000000"/>
              <w:right w:val="single" w:sz="4" w:space="0" w:color="000000"/>
            </w:tcBorders>
          </w:tcPr>
          <w:p>
            <w:pPr>
              <w:pStyle w:val="Normal"/>
              <w:widowControl w:val="false"/>
              <w:rPr>
                <w:b/>
                <w:b/>
              </w:rPr>
            </w:pPr>
            <w:r>
              <w:rPr>
                <w:b/>
              </w:rPr>
              <w:t>Aktivnost A113914: Odgojno-obrazovno, administrativno i tehničko osoblje</w:t>
            </w:r>
          </w:p>
        </w:tc>
      </w:tr>
      <w:tr>
        <w:trPr>
          <w:trHeight w:val="340" w:hRule="atLeast"/>
        </w:trPr>
        <w:tc>
          <w:tcPr>
            <w:tcW w:w="9654" w:type="dxa"/>
            <w:tcBorders>
              <w:top w:val="single" w:sz="4" w:space="0" w:color="000000"/>
              <w:left w:val="single" w:sz="4" w:space="0" w:color="000000"/>
              <w:bottom w:val="single" w:sz="4" w:space="0" w:color="000000"/>
              <w:right w:val="single" w:sz="4" w:space="0" w:color="000000"/>
            </w:tcBorders>
          </w:tcPr>
          <w:p>
            <w:pPr>
              <w:pStyle w:val="Normal"/>
              <w:widowControl w:val="false"/>
              <w:numPr>
                <w:ilvl w:val="0"/>
                <w:numId w:val="6"/>
              </w:numPr>
              <w:ind w:left="616" w:hanging="283"/>
              <w:rPr/>
            </w:pPr>
            <w:r>
              <w:rPr/>
              <w:t xml:space="preserve">uključuje izdatke za djelatnike u školi čija se plaća financira iz MZO-a. </w:t>
            </w:r>
          </w:p>
        </w:tc>
      </w:tr>
      <w:tr>
        <w:trPr>
          <w:trHeight w:val="340" w:hRule="atLeast"/>
        </w:trPr>
        <w:tc>
          <w:tcPr>
            <w:tcW w:w="9654" w:type="dxa"/>
            <w:tcBorders>
              <w:top w:val="single" w:sz="4" w:space="0" w:color="000000"/>
              <w:left w:val="single" w:sz="4" w:space="0" w:color="000000"/>
              <w:bottom w:val="single" w:sz="4" w:space="0" w:color="000000"/>
              <w:right w:val="single" w:sz="4" w:space="0" w:color="000000"/>
            </w:tcBorders>
          </w:tcPr>
          <w:p>
            <w:pPr>
              <w:pStyle w:val="Normal"/>
              <w:widowControl w:val="false"/>
              <w:rPr>
                <w:b/>
                <w:b/>
                <w:color w:val="000000"/>
              </w:rPr>
            </w:pPr>
            <w:r>
              <w:rPr>
                <w:b/>
                <w:color w:val="000000"/>
              </w:rPr>
              <w:t>Aktivnost K113902: Proizvedena dugotrajna imovina osnovnih škola</w:t>
            </w:r>
          </w:p>
        </w:tc>
      </w:tr>
      <w:tr>
        <w:trPr>
          <w:trHeight w:val="340" w:hRule="atLeast"/>
        </w:trPr>
        <w:tc>
          <w:tcPr>
            <w:tcW w:w="9654"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pPr>
            <w:r>
              <w:rPr>
                <w:color w:val="000000"/>
              </w:rPr>
              <w:t xml:space="preserve">- </w:t>
            </w:r>
            <w:r>
              <w:rPr/>
              <w:t>U sklopu aktivnosti K113902 dobivena su manja sredstva od očekivanih te stoga su i rashodi manji.</w:t>
            </w:r>
          </w:p>
          <w:p>
            <w:pPr>
              <w:pStyle w:val="Normal"/>
              <w:widowControl w:val="false"/>
              <w:jc w:val="both"/>
              <w:rPr/>
            </w:pPr>
            <w:r>
              <w:rPr/>
            </w:r>
          </w:p>
          <w:p>
            <w:pPr>
              <w:pStyle w:val="Normal"/>
              <w:widowControl w:val="false"/>
              <w:jc w:val="both"/>
              <w:rPr/>
            </w:pPr>
            <w:r>
              <w:rPr/>
            </w:r>
          </w:p>
        </w:tc>
      </w:tr>
      <w:tr>
        <w:trPr>
          <w:trHeight w:val="340" w:hRule="atLeast"/>
        </w:trPr>
        <w:tc>
          <w:tcPr>
            <w:tcW w:w="9654" w:type="dxa"/>
            <w:tcBorders>
              <w:top w:val="single" w:sz="4" w:space="0" w:color="000000"/>
              <w:left w:val="single" w:sz="4" w:space="0" w:color="000000"/>
              <w:bottom w:val="single" w:sz="4" w:space="0" w:color="000000"/>
              <w:right w:val="single" w:sz="4" w:space="0" w:color="000000"/>
            </w:tcBorders>
          </w:tcPr>
          <w:p>
            <w:pPr>
              <w:pStyle w:val="Normal"/>
              <w:widowControl w:val="false"/>
              <w:rPr>
                <w:b/>
                <w:b/>
              </w:rPr>
            </w:pPr>
            <w:r>
              <w:rPr>
                <w:b/>
              </w:rPr>
              <w:t>Aktivnost T113910:</w:t>
            </w:r>
            <w:r>
              <w:rPr/>
              <w:t xml:space="preserve"> </w:t>
            </w:r>
            <w:r>
              <w:rPr>
                <w:b/>
              </w:rPr>
              <w:t>Školski medni dan</w:t>
            </w:r>
          </w:p>
        </w:tc>
      </w:tr>
      <w:tr>
        <w:trPr>
          <w:trHeight w:val="340" w:hRule="atLeast"/>
        </w:trPr>
        <w:tc>
          <w:tcPr>
            <w:tcW w:w="9654" w:type="dxa"/>
            <w:tcBorders>
              <w:top w:val="single" w:sz="4" w:space="0" w:color="000000"/>
              <w:left w:val="single" w:sz="4" w:space="0" w:color="000000"/>
              <w:bottom w:val="single" w:sz="4" w:space="0" w:color="000000"/>
              <w:right w:val="single" w:sz="4" w:space="0" w:color="000000"/>
            </w:tcBorders>
          </w:tcPr>
          <w:p>
            <w:pPr>
              <w:pStyle w:val="Normal"/>
              <w:widowControl w:val="false"/>
              <w:ind w:left="333" w:hanging="0"/>
              <w:rPr>
                <w:b/>
                <w:b/>
              </w:rPr>
            </w:pPr>
            <w:r>
              <w:rPr>
                <w:b/>
              </w:rPr>
              <w:t xml:space="preserve">- </w:t>
            </w:r>
            <w:r>
              <w:rPr>
                <w:bCs/>
              </w:rPr>
              <w:t>upoznavanje učenika 1. razreda osnovne škole s</w:t>
            </w:r>
            <w:r>
              <w:rPr>
                <w:b/>
              </w:rPr>
              <w:t xml:space="preserve"> </w:t>
            </w:r>
            <w:r>
              <w:rPr>
                <w:bCs/>
              </w:rPr>
              <w:t xml:space="preserve">načinima dobivanja meda i dobrobiti meda u prehrani učenika. </w:t>
            </w:r>
            <w:r>
              <w:rPr>
                <w:color w:val="000000"/>
              </w:rPr>
              <w:t>Ostvareni rashodi u skladu su s planiranim sredstvima.</w:t>
            </w:r>
          </w:p>
        </w:tc>
      </w:tr>
      <w:tr>
        <w:trPr>
          <w:trHeight w:val="340" w:hRule="atLeast"/>
        </w:trPr>
        <w:tc>
          <w:tcPr>
            <w:tcW w:w="9654"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rFonts w:eastAsia="Calibri"/>
              </w:rPr>
            </w:pPr>
            <w:r>
              <w:rPr>
                <w:b/>
              </w:rPr>
              <w:t>Aktivnost T113917:</w:t>
            </w:r>
            <w:r>
              <w:rPr/>
              <w:t xml:space="preserve"> </w:t>
            </w:r>
            <w:r>
              <w:rPr>
                <w:b/>
              </w:rPr>
              <w:t>Centar za osobni rast i razvoj – biti drugačiji</w:t>
            </w:r>
          </w:p>
          <w:p>
            <w:pPr>
              <w:pStyle w:val="Normal"/>
              <w:widowControl w:val="false"/>
              <w:rPr/>
            </w:pPr>
            <w:r>
              <w:rPr/>
            </w:r>
          </w:p>
        </w:tc>
      </w:tr>
      <w:tr>
        <w:trPr>
          <w:trHeight w:val="340" w:hRule="atLeast"/>
        </w:trPr>
        <w:tc>
          <w:tcPr>
            <w:tcW w:w="9654"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1440" w:leader="none"/>
                <w:tab w:val="left" w:pos="-720" w:leader="none"/>
                <w:tab w:val="left" w:pos="284" w:leader="none"/>
                <w:tab w:val="left" w:pos="567" w:leader="none"/>
                <w:tab w:val="left" w:pos="720" w:leader="none"/>
                <w:tab w:val="left" w:pos="1080" w:leader="none"/>
                <w:tab w:val="left" w:pos="1440" w:leader="none"/>
                <w:tab w:val="left" w:pos="1800" w:leader="none"/>
                <w:tab w:val="left" w:pos="2520" w:leader="none"/>
                <w:tab w:val="left" w:pos="2880" w:leader="none"/>
                <w:tab w:val="left" w:pos="3240" w:leader="none"/>
                <w:tab w:val="left" w:pos="3600" w:leader="none"/>
                <w:tab w:val="left" w:pos="4320" w:leader="none"/>
                <w:tab w:val="left" w:pos="5040" w:leader="none"/>
                <w:tab w:val="left" w:pos="5760" w:leader="none"/>
                <w:tab w:val="left" w:pos="6480" w:leader="none"/>
                <w:tab w:val="left" w:pos="7200" w:leader="none"/>
                <w:tab w:val="left" w:pos="7920" w:leader="none"/>
              </w:tabs>
              <w:spacing w:before="240" w:after="0"/>
              <w:contextualSpacing/>
              <w:jc w:val="both"/>
              <w:rPr>
                <w:rFonts w:eastAsia="Calibri"/>
              </w:rPr>
            </w:pPr>
            <w:r>
              <w:rPr>
                <w:rFonts w:eastAsia="Calibri"/>
              </w:rPr>
              <w:t xml:space="preserve">U okviru ključne aktivnosti </w:t>
            </w:r>
            <w:r>
              <w:rPr>
                <w:rFonts w:eastAsia="Calibri"/>
                <w:b/>
              </w:rPr>
              <w:t xml:space="preserve">– KA1 Projektom  </w:t>
            </w:r>
            <w:r>
              <w:rPr>
                <w:rFonts w:eastAsia="Calibri"/>
                <w:b/>
                <w:i/>
              </w:rPr>
              <w:t>Centar za osobni rast i razvoj – Biti drugačiji</w:t>
            </w:r>
            <w:r>
              <w:rPr>
                <w:rFonts w:eastAsia="Calibri"/>
                <w:b/>
              </w:rPr>
              <w:t xml:space="preserve">   </w:t>
            </w:r>
            <w:r>
              <w:rPr>
                <w:rFonts w:eastAsia="Calibri"/>
              </w:rPr>
              <w:t xml:space="preserve">želimo nastaviti s prethodno provedenim projektima te unaprijediti neka područja školskog kurikuluma, osobito rad s darovitom djecom. </w:t>
            </w:r>
          </w:p>
          <w:p>
            <w:pPr>
              <w:pStyle w:val="Normal"/>
              <w:widowControl w:val="false"/>
              <w:tabs>
                <w:tab w:val="clear" w:pos="708"/>
                <w:tab w:val="left" w:pos="-1440" w:leader="none"/>
                <w:tab w:val="left" w:pos="-720" w:leader="none"/>
                <w:tab w:val="left" w:pos="284" w:leader="none"/>
                <w:tab w:val="left" w:pos="567" w:leader="none"/>
                <w:tab w:val="left" w:pos="720" w:leader="none"/>
                <w:tab w:val="left" w:pos="1080" w:leader="none"/>
                <w:tab w:val="left" w:pos="1440" w:leader="none"/>
                <w:tab w:val="left" w:pos="1800" w:leader="none"/>
                <w:tab w:val="left" w:pos="2520" w:leader="none"/>
                <w:tab w:val="left" w:pos="2880" w:leader="none"/>
                <w:tab w:val="left" w:pos="3240" w:leader="none"/>
                <w:tab w:val="left" w:pos="3600" w:leader="none"/>
                <w:tab w:val="left" w:pos="4320" w:leader="none"/>
                <w:tab w:val="left" w:pos="5040" w:leader="none"/>
                <w:tab w:val="left" w:pos="5760" w:leader="none"/>
                <w:tab w:val="left" w:pos="6480" w:leader="none"/>
                <w:tab w:val="left" w:pos="7200" w:leader="none"/>
                <w:tab w:val="left" w:pos="7920" w:leader="none"/>
              </w:tabs>
              <w:spacing w:before="240" w:after="0"/>
              <w:contextualSpacing/>
              <w:jc w:val="both"/>
              <w:rPr>
                <w:rFonts w:eastAsia="Calibri"/>
              </w:rPr>
            </w:pPr>
            <w:r>
              <w:rPr>
                <w:rFonts w:eastAsia="Calibri"/>
              </w:rPr>
              <w:t xml:space="preserve">Glavne aktivnosti projekta vezane su za mobilnosti i </w:t>
            </w:r>
            <w:r>
              <w:rPr>
                <w:rFonts w:eastAsia="Calibri"/>
                <w:b/>
              </w:rPr>
              <w:t>edukaciju učitelja</w:t>
            </w:r>
            <w:r>
              <w:rPr>
                <w:rFonts w:eastAsia="Calibri"/>
              </w:rPr>
              <w:t xml:space="preserve"> na području darovitosti te aktivno </w:t>
            </w:r>
            <w:r>
              <w:rPr>
                <w:rFonts w:eastAsia="Calibri"/>
                <w:b/>
              </w:rPr>
              <w:t>sudjelovanje u nastavi</w:t>
            </w:r>
            <w:r>
              <w:rPr>
                <w:rFonts w:eastAsia="Calibri"/>
              </w:rPr>
              <w:t xml:space="preserve"> u školi u kojoj se školuju darovita djeca. Projekt je planiran tijekom 2020. i 2021., ali s obzirom na neizvjesnu situaciju s pandemijom dobili smo produžetak i za 2022. Agencija za mobilnost nam je dala na raspolaganje mogućnost promjene početka i trajanja projekta.</w:t>
            </w:r>
          </w:p>
          <w:p>
            <w:pPr>
              <w:pStyle w:val="Normal"/>
              <w:widowControl w:val="false"/>
              <w:tabs>
                <w:tab w:val="clear" w:pos="708"/>
                <w:tab w:val="left" w:pos="-1440" w:leader="none"/>
                <w:tab w:val="left" w:pos="-720" w:leader="none"/>
                <w:tab w:val="left" w:pos="284" w:leader="none"/>
                <w:tab w:val="left" w:pos="567" w:leader="none"/>
                <w:tab w:val="left" w:pos="720" w:leader="none"/>
                <w:tab w:val="left" w:pos="1080" w:leader="none"/>
                <w:tab w:val="left" w:pos="1440" w:leader="none"/>
                <w:tab w:val="left" w:pos="1800" w:leader="none"/>
                <w:tab w:val="left" w:pos="2520" w:leader="none"/>
                <w:tab w:val="left" w:pos="2880" w:leader="none"/>
                <w:tab w:val="left" w:pos="3240" w:leader="none"/>
                <w:tab w:val="left" w:pos="3600" w:leader="none"/>
                <w:tab w:val="left" w:pos="4320" w:leader="none"/>
                <w:tab w:val="left" w:pos="5040" w:leader="none"/>
                <w:tab w:val="left" w:pos="5760" w:leader="none"/>
                <w:tab w:val="left" w:pos="6480" w:leader="none"/>
                <w:tab w:val="left" w:pos="7200" w:leader="none"/>
                <w:tab w:val="left" w:pos="7920" w:leader="none"/>
              </w:tabs>
              <w:spacing w:before="240" w:after="0"/>
              <w:contextualSpacing/>
              <w:jc w:val="both"/>
              <w:rPr>
                <w:rFonts w:eastAsia="Calibri"/>
              </w:rPr>
            </w:pPr>
            <w:r>
              <w:rPr>
                <w:rFonts w:eastAsia="Calibri"/>
              </w:rPr>
              <w:t>Cilj je rad s darovitim učenicima.</w:t>
            </w:r>
          </w:p>
          <w:p>
            <w:pPr>
              <w:pStyle w:val="Normal"/>
              <w:widowControl w:val="false"/>
              <w:ind w:firstLine="708"/>
              <w:jc w:val="both"/>
              <w:rPr>
                <w:rFonts w:eastAsia="Calibri"/>
              </w:rPr>
            </w:pPr>
            <w:r>
              <w:rPr>
                <w:rFonts w:eastAsia="Calibri"/>
              </w:rPr>
              <w:t xml:space="preserve">Kao i svi dosadašnji projekti dobiveni iz europskih fondova i ovaj naš projekt  KA1, početno se financira u nepotpunom iznosu i to 80%, odnosno dobili smo </w:t>
            </w:r>
            <w:r>
              <w:rPr>
                <w:rFonts w:eastAsia="Calibri"/>
                <w:b/>
              </w:rPr>
              <w:t>109.458,59 kn</w:t>
            </w:r>
            <w:r>
              <w:rPr>
                <w:rFonts w:eastAsia="Calibri"/>
              </w:rPr>
              <w:t xml:space="preserve"> od odobrenog iznosa. Kako je u 2022 godini završen projekt isplaćen je i preostali dio  projekta u iznosu od </w:t>
            </w:r>
            <w:r>
              <w:rPr>
                <w:rFonts w:eastAsia="Calibri"/>
                <w:b/>
              </w:rPr>
              <w:t>17.523,34 kn</w:t>
            </w:r>
            <w:r>
              <w:rPr>
                <w:rFonts w:eastAsia="Calibri"/>
              </w:rPr>
              <w:t>.</w:t>
            </w:r>
          </w:p>
          <w:p>
            <w:pPr>
              <w:pStyle w:val="Normal"/>
              <w:widowControl w:val="false"/>
              <w:ind w:firstLine="708"/>
              <w:jc w:val="both"/>
              <w:rPr>
                <w:rFonts w:eastAsia="Calibri"/>
              </w:rPr>
            </w:pPr>
            <w:r>
              <w:rPr>
                <w:rFonts w:eastAsia="Calibri"/>
              </w:rPr>
            </w:r>
          </w:p>
          <w:p>
            <w:pPr>
              <w:pStyle w:val="Normal"/>
              <w:widowControl w:val="false"/>
              <w:numPr>
                <w:ilvl w:val="0"/>
                <w:numId w:val="6"/>
              </w:numPr>
              <w:ind w:left="616" w:hanging="283"/>
              <w:rPr/>
            </w:pPr>
            <w:r>
              <w:rPr/>
            </w:r>
          </w:p>
        </w:tc>
      </w:tr>
      <w:tr>
        <w:trPr>
          <w:trHeight w:val="340" w:hRule="atLeast"/>
        </w:trPr>
        <w:tc>
          <w:tcPr>
            <w:tcW w:w="9654"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rFonts w:eastAsia="Calibri"/>
              </w:rPr>
            </w:pPr>
            <w:r>
              <w:rPr>
                <w:b/>
              </w:rPr>
              <w:t>Aktivnost T113918:</w:t>
            </w:r>
            <w:r>
              <w:rPr/>
              <w:t xml:space="preserve"> </w:t>
            </w:r>
            <w:r>
              <w:rPr>
                <w:b/>
              </w:rPr>
              <w:t>Umjetnost i književnost u prirodi obrazovanja – je li nam to strano</w:t>
            </w:r>
          </w:p>
          <w:p>
            <w:pPr>
              <w:pStyle w:val="Normal"/>
              <w:widowControl w:val="false"/>
              <w:rPr/>
            </w:pPr>
            <w:r>
              <w:rPr/>
            </w:r>
          </w:p>
        </w:tc>
      </w:tr>
      <w:tr>
        <w:trPr>
          <w:trHeight w:val="340" w:hRule="atLeast"/>
        </w:trPr>
        <w:tc>
          <w:tcPr>
            <w:tcW w:w="9654" w:type="dxa"/>
            <w:tcBorders>
              <w:top w:val="single" w:sz="4" w:space="0" w:color="000000"/>
              <w:left w:val="single" w:sz="4" w:space="0" w:color="000000"/>
              <w:bottom w:val="single" w:sz="4" w:space="0" w:color="000000"/>
              <w:right w:val="single" w:sz="4" w:space="0" w:color="000000"/>
            </w:tcBorders>
          </w:tcPr>
          <w:p>
            <w:pPr>
              <w:pStyle w:val="Normal"/>
              <w:widowControl w:val="false"/>
              <w:rPr>
                <w:color w:val="FF0000"/>
              </w:rPr>
            </w:pPr>
            <w:r>
              <w:rPr/>
              <w:t xml:space="preserve">Vrijeme trajanja projekta:  produljenje trajanja projekta zbog pandemije bolesti COVID-19 „Projekt traje 35 mjeseci, počevši od 1.10.2020. i završno s 31.8.2023.” do 31.8. 2023. </w:t>
            </w:r>
          </w:p>
          <w:p>
            <w:pPr>
              <w:pStyle w:val="Normal"/>
              <w:widowControl w:val="false"/>
              <w:rPr>
                <w:color w:val="FF0000"/>
              </w:rPr>
            </w:pPr>
            <w:r>
              <w:rPr>
                <w:color w:val="FF0000"/>
              </w:rPr>
            </w:r>
          </w:p>
          <w:p>
            <w:pPr>
              <w:pStyle w:val="Normal"/>
              <w:widowControl w:val="false"/>
              <w:rPr/>
            </w:pPr>
            <w:r>
              <w:rPr/>
              <w:t xml:space="preserve">Financijska potpora komisije EU: </w:t>
            </w:r>
            <w:r>
              <w:rPr>
                <w:b/>
              </w:rPr>
              <w:t>29,355.00 EUR</w:t>
            </w:r>
            <w:r>
              <w:rPr/>
              <w:t xml:space="preserve"> 100% iznos</w:t>
            </w:r>
          </w:p>
          <w:p>
            <w:pPr>
              <w:pStyle w:val="Normal"/>
              <w:widowControl w:val="false"/>
              <w:rPr/>
            </w:pPr>
            <w:r>
              <w:rPr/>
              <w:t xml:space="preserve">Isplaćeni iznos: </w:t>
            </w:r>
            <w:r>
              <w:rPr>
                <w:b/>
              </w:rPr>
              <w:t>23.484,00 EUR</w:t>
            </w:r>
            <w:r>
              <w:rPr/>
              <w:t xml:space="preserve">  80% iznosa</w:t>
            </w:r>
          </w:p>
          <w:p>
            <w:pPr>
              <w:pStyle w:val="Normal"/>
              <w:widowControl w:val="false"/>
              <w:rPr/>
            </w:pPr>
            <w:r>
              <w:rPr/>
              <w:t>BROJ PROJEKTA: 2020-1-EL01-KA229-078863_3</w:t>
            </w:r>
          </w:p>
          <w:p>
            <w:pPr>
              <w:pStyle w:val="Normal"/>
              <w:widowControl w:val="false"/>
              <w:rPr/>
            </w:pPr>
            <w:r>
              <w:rPr/>
              <w:t xml:space="preserve">KA229 – program Erazmus+, Ključna aktivnost 2: Školska partnerstva </w:t>
            </w:r>
          </w:p>
          <w:p>
            <w:pPr>
              <w:pStyle w:val="Normal"/>
              <w:widowControl w:val="false"/>
              <w:rPr>
                <w:lang w:val="en-US"/>
              </w:rPr>
            </w:pPr>
            <w:r>
              <w:rPr>
                <w:lang w:val="en-US"/>
              </w:rPr>
              <w:t>Ciljevi projekta :</w:t>
            </w:r>
          </w:p>
          <w:p>
            <w:pPr>
              <w:pStyle w:val="Normal"/>
              <w:widowControl w:val="false"/>
              <w:rPr/>
            </w:pPr>
            <w:r>
              <w:rPr>
                <w:lang w:val="en-US"/>
              </w:rPr>
              <w:t xml:space="preserve">Tijekom provođenja projekta u školi, učenici će  kroz umjetnost, književnost, povijest, film, građanski odgoj, strane jezike, informatiku učiti o novom </w:t>
            </w:r>
            <w:r>
              <w:rPr/>
              <w:t xml:space="preserve">razvoju SEL-a. Izlaganje djece kvalitetnoj literaturi može pridonijeti stvaranju odgovornih, uspješnih i suosjećajnih pojedinaca. Na taj će se način odgajati budući lideri sa socijalnim kompetencijama i emocionalnim vještinama, a vodit će se i međunarodna komunikaciju o umjetnosti. </w:t>
            </w:r>
          </w:p>
          <w:p>
            <w:pPr>
              <w:pStyle w:val="Normal"/>
              <w:widowControl w:val="false"/>
              <w:rPr/>
            </w:pPr>
            <w:r>
              <w:rPr/>
              <w:t>S druge strane, za umjetničko obrazovanje često se kaže da je sredstvo za razvijanje kritičkog i kreativnog razmišljanja.</w:t>
            </w:r>
          </w:p>
          <w:p>
            <w:pPr>
              <w:pStyle w:val="Normal"/>
              <w:widowControl w:val="false"/>
              <w:rPr>
                <w:lang w:val="en-US"/>
              </w:rPr>
            </w:pPr>
            <w:r>
              <w:rPr>
                <w:lang w:val="en-US"/>
              </w:rPr>
              <w:t>Osim komunikacije na engleskom jeziku učenici će poboljšati  i vještine pisanja mail-ova, korištenja chatova, video konferencija, blogova i online brošura ili kvizova.</w:t>
              <w:br/>
            </w:r>
          </w:p>
          <w:p>
            <w:pPr>
              <w:pStyle w:val="Normal"/>
              <w:widowControl w:val="false"/>
              <w:rPr>
                <w:lang w:val="en-US"/>
              </w:rPr>
            </w:pPr>
            <w:r>
              <w:rPr>
                <w:lang w:val="en-US"/>
              </w:rPr>
              <w:t>Razgovarajući, učenici će shvatiti i prihvatiti kulturne i socijalne različitosti između zemalja partnera.</w:t>
            </w:r>
          </w:p>
          <w:p>
            <w:pPr>
              <w:pStyle w:val="Normal"/>
              <w:widowControl w:val="false"/>
              <w:numPr>
                <w:ilvl w:val="0"/>
                <w:numId w:val="6"/>
              </w:numPr>
              <w:ind w:left="616" w:hanging="283"/>
              <w:rPr/>
            </w:pPr>
            <w:r>
              <w:rPr>
                <w:lang w:val="en-US"/>
              </w:rPr>
              <w:t>Učitelji i učenici u projektu međusobno komuniciraju, moraju prezentirati rezultate svojih aktivnosti, rješavati probleme zajedno pa su upućeni na različite izvore  informacija : digitalne i tehničke</w:t>
            </w:r>
          </w:p>
        </w:tc>
      </w:tr>
      <w:tr>
        <w:trPr>
          <w:trHeight w:val="340" w:hRule="atLeast"/>
        </w:trPr>
        <w:tc>
          <w:tcPr>
            <w:tcW w:w="9654" w:type="dxa"/>
            <w:tcBorders>
              <w:top w:val="single" w:sz="4" w:space="0" w:color="000000"/>
              <w:left w:val="single" w:sz="4" w:space="0" w:color="000000"/>
              <w:bottom w:val="single" w:sz="4" w:space="0" w:color="000000"/>
              <w:right w:val="single" w:sz="4" w:space="0" w:color="000000"/>
            </w:tcBorders>
          </w:tcPr>
          <w:p>
            <w:pPr>
              <w:pStyle w:val="Normal"/>
              <w:widowControl w:val="false"/>
              <w:rPr>
                <w:b/>
                <w:b/>
              </w:rPr>
            </w:pPr>
            <w:r>
              <w:rPr>
                <w:b/>
              </w:rPr>
              <w:t>Aktivnost T113904: Školska shema</w:t>
            </w:r>
          </w:p>
        </w:tc>
      </w:tr>
      <w:tr>
        <w:trPr>
          <w:trHeight w:val="340" w:hRule="atLeast"/>
        </w:trPr>
        <w:tc>
          <w:tcPr>
            <w:tcW w:w="9654" w:type="dxa"/>
            <w:tcBorders>
              <w:top w:val="single" w:sz="4" w:space="0" w:color="000000"/>
              <w:left w:val="single" w:sz="4" w:space="0" w:color="000000"/>
              <w:bottom w:val="single" w:sz="4" w:space="0" w:color="000000"/>
              <w:right w:val="single" w:sz="4" w:space="0" w:color="000000"/>
            </w:tcBorders>
          </w:tcPr>
          <w:p>
            <w:pPr>
              <w:pStyle w:val="Normal"/>
              <w:widowControl w:val="false"/>
              <w:rPr/>
            </w:pPr>
            <w:r>
              <w:rPr/>
              <w:t>Od školske godine 2021./2022. nismo u projektu Školska shema.</w:t>
            </w:r>
          </w:p>
        </w:tc>
      </w:tr>
      <w:tr>
        <w:trPr>
          <w:trHeight w:val="340" w:hRule="atLeast"/>
        </w:trPr>
        <w:tc>
          <w:tcPr>
            <w:tcW w:w="9654"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rFonts w:eastAsia="Calibri"/>
              </w:rPr>
            </w:pPr>
            <w:r>
              <w:rPr>
                <w:b/>
              </w:rPr>
              <w:t>Aktivnost T113921:</w:t>
            </w:r>
            <w:r>
              <w:rPr/>
              <w:t xml:space="preserve"> </w:t>
            </w:r>
            <w:r>
              <w:rPr>
                <w:b/>
              </w:rPr>
              <w:t>Kulturna baština u digitalnom svijetu - EU</w:t>
            </w:r>
          </w:p>
        </w:tc>
      </w:tr>
      <w:tr>
        <w:trPr>
          <w:trHeight w:val="340" w:hRule="atLeast"/>
        </w:trPr>
        <w:tc>
          <w:tcPr>
            <w:tcW w:w="9654"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contextualSpacing/>
              <w:jc w:val="both"/>
              <w:rPr>
                <w:rFonts w:eastAsia="Calibri"/>
                <w:b/>
                <w:b/>
                <w:sz w:val="20"/>
                <w:szCs w:val="20"/>
              </w:rPr>
            </w:pPr>
            <w:r>
              <w:rPr>
                <w:rFonts w:eastAsia="Calibri"/>
                <w:sz w:val="20"/>
                <w:szCs w:val="20"/>
              </w:rPr>
              <w:t xml:space="preserve">U okviru programa Erasmus+ za Ključnu aktivnost 210 - Školska partnerstva, Osnovna škola Podmurvice potpisala je Ugovor o dodjeli financijske potpore </w:t>
            </w:r>
            <w:r>
              <w:rPr>
                <w:rFonts w:eastAsia="Calibri"/>
                <w:bCs/>
                <w:sz w:val="20"/>
                <w:szCs w:val="20"/>
              </w:rPr>
              <w:t>OID:E10146919</w:t>
            </w:r>
            <w:r>
              <w:rPr>
                <w:rFonts w:eastAsia="Calibri"/>
                <w:sz w:val="20"/>
                <w:szCs w:val="20"/>
              </w:rPr>
              <w:t xml:space="preserve">, u ukupnom iznosu od </w:t>
            </w:r>
            <w:r>
              <w:rPr>
                <w:rFonts w:eastAsia="Calibri"/>
                <w:b/>
                <w:bCs/>
                <w:sz w:val="20"/>
                <w:szCs w:val="20"/>
              </w:rPr>
              <w:t xml:space="preserve">12.820,00 EUR </w:t>
            </w:r>
            <w:r>
              <w:rPr>
                <w:rFonts w:eastAsia="Calibri"/>
                <w:b/>
                <w:sz w:val="20"/>
                <w:szCs w:val="20"/>
              </w:rPr>
              <w:t>eura. (cca 96.150,00 kn)</w:t>
            </w:r>
          </w:p>
          <w:p>
            <w:pPr>
              <w:pStyle w:val="Normal"/>
              <w:widowControl w:val="false"/>
              <w:rPr>
                <w:sz w:val="20"/>
                <w:szCs w:val="20"/>
              </w:rPr>
            </w:pPr>
            <w:r>
              <w:rPr>
                <w:sz w:val="20"/>
                <w:szCs w:val="20"/>
              </w:rPr>
              <w:t xml:space="preserve"> </w:t>
            </w:r>
          </w:p>
          <w:p>
            <w:pPr>
              <w:pStyle w:val="Normal"/>
              <w:widowControl w:val="false"/>
              <w:rPr>
                <w:rFonts w:eastAsia="Calibri"/>
                <w:b/>
                <w:b/>
                <w:bCs/>
                <w:sz w:val="20"/>
                <w:szCs w:val="20"/>
              </w:rPr>
            </w:pPr>
            <w:r>
              <w:rPr>
                <w:sz w:val="20"/>
                <w:szCs w:val="20"/>
              </w:rPr>
              <w:t xml:space="preserve">BROJ PROJEKTA: </w:t>
            </w:r>
            <w:r>
              <w:rPr>
                <w:rFonts w:eastAsia="Calibri"/>
                <w:b/>
                <w:sz w:val="20"/>
                <w:szCs w:val="20"/>
              </w:rPr>
              <w:t>2021-1-PT01-KA210-SCH-000032333</w:t>
            </w:r>
            <w:r>
              <w:rPr>
                <w:rFonts w:eastAsia="Calibri"/>
                <w:sz w:val="20"/>
                <w:szCs w:val="20"/>
              </w:rPr>
              <w:tab/>
              <w:t xml:space="preserve">      </w:t>
              <w:tab/>
            </w:r>
            <w:r>
              <w:rPr>
                <w:rFonts w:eastAsia="Calibri"/>
                <w:b/>
                <w:bCs/>
                <w:sz w:val="20"/>
                <w:szCs w:val="20"/>
              </w:rPr>
              <w:t xml:space="preserve"> </w:t>
            </w:r>
          </w:p>
          <w:p>
            <w:pPr>
              <w:pStyle w:val="Normal"/>
              <w:widowControl w:val="false"/>
              <w:tabs>
                <w:tab w:val="clear" w:pos="708"/>
                <w:tab w:val="left" w:pos="-1440" w:leader="none"/>
                <w:tab w:val="left" w:pos="-720" w:leader="none"/>
                <w:tab w:val="left" w:pos="284" w:leader="none"/>
                <w:tab w:val="left" w:pos="567" w:leader="none"/>
                <w:tab w:val="left" w:pos="720" w:leader="none"/>
                <w:tab w:val="left" w:pos="1080" w:leader="none"/>
                <w:tab w:val="left" w:pos="1440" w:leader="none"/>
                <w:tab w:val="left" w:pos="1800" w:leader="none"/>
                <w:tab w:val="left" w:pos="2520" w:leader="none"/>
                <w:tab w:val="left" w:pos="2880" w:leader="none"/>
                <w:tab w:val="left" w:pos="3240" w:leader="none"/>
                <w:tab w:val="left" w:pos="3600" w:leader="none"/>
                <w:tab w:val="left" w:pos="4320" w:leader="none"/>
                <w:tab w:val="left" w:pos="5040" w:leader="none"/>
                <w:tab w:val="left" w:pos="5760" w:leader="none"/>
                <w:tab w:val="left" w:pos="6480" w:leader="none"/>
                <w:tab w:val="left" w:pos="7200" w:leader="none"/>
                <w:tab w:val="left" w:pos="7920" w:leader="none"/>
              </w:tabs>
              <w:spacing w:before="240" w:after="0"/>
              <w:contextualSpacing/>
              <w:jc w:val="both"/>
              <w:rPr>
                <w:rFonts w:eastAsia="Calibri"/>
                <w:sz w:val="20"/>
                <w:szCs w:val="20"/>
              </w:rPr>
            </w:pPr>
            <w:r>
              <w:rPr>
                <w:rFonts w:eastAsia="Calibri"/>
                <w:sz w:val="20"/>
                <w:szCs w:val="20"/>
              </w:rPr>
              <w:t>Naziv projekta: Integrating Cultural Heritages to the Digital World</w:t>
            </w:r>
          </w:p>
          <w:p>
            <w:pPr>
              <w:pStyle w:val="Normal"/>
              <w:widowControl w:val="false"/>
              <w:tabs>
                <w:tab w:val="clear" w:pos="708"/>
                <w:tab w:val="left" w:pos="-1440" w:leader="none"/>
                <w:tab w:val="left" w:pos="-720" w:leader="none"/>
                <w:tab w:val="left" w:pos="284" w:leader="none"/>
                <w:tab w:val="left" w:pos="567" w:leader="none"/>
                <w:tab w:val="left" w:pos="720" w:leader="none"/>
                <w:tab w:val="left" w:pos="1080" w:leader="none"/>
                <w:tab w:val="left" w:pos="1440" w:leader="none"/>
                <w:tab w:val="left" w:pos="1800" w:leader="none"/>
                <w:tab w:val="left" w:pos="2520" w:leader="none"/>
                <w:tab w:val="left" w:pos="2880" w:leader="none"/>
                <w:tab w:val="left" w:pos="3240" w:leader="none"/>
                <w:tab w:val="left" w:pos="3600" w:leader="none"/>
                <w:tab w:val="left" w:pos="4320" w:leader="none"/>
                <w:tab w:val="left" w:pos="5040" w:leader="none"/>
                <w:tab w:val="left" w:pos="5760" w:leader="none"/>
                <w:tab w:val="left" w:pos="6480" w:leader="none"/>
                <w:tab w:val="left" w:pos="7200" w:leader="none"/>
                <w:tab w:val="left" w:pos="7920" w:leader="none"/>
              </w:tabs>
              <w:spacing w:before="240" w:after="0"/>
              <w:contextualSpacing/>
              <w:jc w:val="both"/>
              <w:rPr>
                <w:rFonts w:eastAsia="Calibri"/>
                <w:sz w:val="20"/>
                <w:szCs w:val="20"/>
              </w:rPr>
            </w:pPr>
            <w:r>
              <w:rPr>
                <w:rFonts w:eastAsia="Calibri"/>
                <w:sz w:val="20"/>
                <w:szCs w:val="20"/>
              </w:rPr>
              <w:t>Prijevod: Kulturna baština u digitalnom svijetu</w:t>
            </w:r>
          </w:p>
          <w:p>
            <w:pPr>
              <w:pStyle w:val="Normal"/>
              <w:widowControl w:val="false"/>
              <w:tabs>
                <w:tab w:val="clear" w:pos="708"/>
                <w:tab w:val="left" w:pos="-1440" w:leader="none"/>
                <w:tab w:val="left" w:pos="-720" w:leader="none"/>
                <w:tab w:val="left" w:pos="284" w:leader="none"/>
                <w:tab w:val="left" w:pos="567" w:leader="none"/>
                <w:tab w:val="left" w:pos="720" w:leader="none"/>
                <w:tab w:val="left" w:pos="1080" w:leader="none"/>
                <w:tab w:val="left" w:pos="1440" w:leader="none"/>
                <w:tab w:val="left" w:pos="1800" w:leader="none"/>
                <w:tab w:val="left" w:pos="2520" w:leader="none"/>
                <w:tab w:val="left" w:pos="2880" w:leader="none"/>
                <w:tab w:val="left" w:pos="3240" w:leader="none"/>
                <w:tab w:val="left" w:pos="3600" w:leader="none"/>
                <w:tab w:val="left" w:pos="4320" w:leader="none"/>
                <w:tab w:val="left" w:pos="5040" w:leader="none"/>
                <w:tab w:val="left" w:pos="5760" w:leader="none"/>
                <w:tab w:val="left" w:pos="6480" w:leader="none"/>
                <w:tab w:val="left" w:pos="7200" w:leader="none"/>
                <w:tab w:val="left" w:pos="7920" w:leader="none"/>
              </w:tabs>
              <w:spacing w:before="240" w:after="0"/>
              <w:contextualSpacing/>
              <w:jc w:val="both"/>
              <w:rPr>
                <w:rFonts w:eastAsia="Calibri"/>
                <w:sz w:val="20"/>
                <w:szCs w:val="20"/>
              </w:rPr>
            </w:pPr>
            <w:r>
              <w:rPr>
                <w:rFonts w:eastAsia="Calibri"/>
                <w:sz w:val="20"/>
                <w:szCs w:val="20"/>
              </w:rPr>
              <w:t>Iznos dodjeljen Osnovnoj školi Podmurvice: 12.820,00 EUR</w:t>
            </w:r>
          </w:p>
          <w:p>
            <w:pPr>
              <w:pStyle w:val="Normal"/>
              <w:widowControl w:val="false"/>
              <w:tabs>
                <w:tab w:val="clear" w:pos="708"/>
                <w:tab w:val="left" w:pos="-1440" w:leader="none"/>
                <w:tab w:val="left" w:pos="-720" w:leader="none"/>
                <w:tab w:val="left" w:pos="284" w:leader="none"/>
                <w:tab w:val="left" w:pos="567" w:leader="none"/>
                <w:tab w:val="left" w:pos="720" w:leader="none"/>
                <w:tab w:val="left" w:pos="1080" w:leader="none"/>
                <w:tab w:val="left" w:pos="1440" w:leader="none"/>
                <w:tab w:val="left" w:pos="1800" w:leader="none"/>
                <w:tab w:val="left" w:pos="2520" w:leader="none"/>
                <w:tab w:val="left" w:pos="2880" w:leader="none"/>
                <w:tab w:val="left" w:pos="3240" w:leader="none"/>
                <w:tab w:val="left" w:pos="3600" w:leader="none"/>
                <w:tab w:val="left" w:pos="4320" w:leader="none"/>
                <w:tab w:val="left" w:pos="5040" w:leader="none"/>
                <w:tab w:val="left" w:pos="5760" w:leader="none"/>
                <w:tab w:val="left" w:pos="6480" w:leader="none"/>
                <w:tab w:val="left" w:pos="7200" w:leader="none"/>
                <w:tab w:val="left" w:pos="7920" w:leader="none"/>
              </w:tabs>
              <w:spacing w:before="240" w:after="0"/>
              <w:contextualSpacing/>
              <w:jc w:val="both"/>
              <w:rPr>
                <w:rFonts w:eastAsia="Calibri"/>
                <w:sz w:val="20"/>
                <w:szCs w:val="20"/>
              </w:rPr>
            </w:pPr>
            <w:r>
              <w:rPr>
                <w:rFonts w:eastAsia="Calibri"/>
                <w:sz w:val="20"/>
                <w:szCs w:val="20"/>
              </w:rPr>
              <w:t>Isplaćeno 29.04.2022. – 76.354,19 kn (80% - 10.256€)</w:t>
            </w:r>
          </w:p>
          <w:p>
            <w:pPr>
              <w:pStyle w:val="Normal"/>
              <w:widowControl w:val="false"/>
              <w:tabs>
                <w:tab w:val="clear" w:pos="708"/>
                <w:tab w:val="left" w:pos="-1440" w:leader="none"/>
                <w:tab w:val="left" w:pos="-720" w:leader="none"/>
                <w:tab w:val="left" w:pos="284" w:leader="none"/>
                <w:tab w:val="left" w:pos="567" w:leader="none"/>
                <w:tab w:val="left" w:pos="720" w:leader="none"/>
                <w:tab w:val="left" w:pos="1080" w:leader="none"/>
                <w:tab w:val="left" w:pos="1440" w:leader="none"/>
                <w:tab w:val="left" w:pos="1800" w:leader="none"/>
                <w:tab w:val="left" w:pos="2520" w:leader="none"/>
                <w:tab w:val="left" w:pos="2880" w:leader="none"/>
                <w:tab w:val="left" w:pos="3240" w:leader="none"/>
                <w:tab w:val="left" w:pos="3600" w:leader="none"/>
                <w:tab w:val="left" w:pos="4320" w:leader="none"/>
                <w:tab w:val="left" w:pos="5040" w:leader="none"/>
                <w:tab w:val="left" w:pos="5760" w:leader="none"/>
                <w:tab w:val="left" w:pos="6480" w:leader="none"/>
                <w:tab w:val="left" w:pos="7200" w:leader="none"/>
                <w:tab w:val="left" w:pos="7920" w:leader="none"/>
              </w:tabs>
              <w:spacing w:before="240" w:after="0"/>
              <w:contextualSpacing/>
              <w:jc w:val="both"/>
              <w:rPr>
                <w:rFonts w:eastAsia="Calibri"/>
                <w:sz w:val="20"/>
                <w:szCs w:val="20"/>
              </w:rPr>
            </w:pPr>
            <w:r>
              <w:rPr>
                <w:rFonts w:eastAsia="Calibri"/>
                <w:sz w:val="20"/>
                <w:szCs w:val="20"/>
              </w:rPr>
              <w:t>Vrijeme trajanja projekta: 24 mjeseca (1.12.2021.-1.12.2023.)</w:t>
            </w:r>
          </w:p>
          <w:p>
            <w:pPr>
              <w:pStyle w:val="Normal"/>
              <w:widowControl w:val="false"/>
              <w:tabs>
                <w:tab w:val="clear" w:pos="708"/>
                <w:tab w:val="left" w:pos="-1440" w:leader="none"/>
                <w:tab w:val="left" w:pos="-720" w:leader="none"/>
                <w:tab w:val="left" w:pos="284" w:leader="none"/>
                <w:tab w:val="left" w:pos="567" w:leader="none"/>
                <w:tab w:val="left" w:pos="720" w:leader="none"/>
                <w:tab w:val="left" w:pos="1080" w:leader="none"/>
                <w:tab w:val="left" w:pos="1440" w:leader="none"/>
                <w:tab w:val="left" w:pos="1800" w:leader="none"/>
                <w:tab w:val="left" w:pos="2520" w:leader="none"/>
                <w:tab w:val="left" w:pos="2880" w:leader="none"/>
                <w:tab w:val="left" w:pos="3240" w:leader="none"/>
                <w:tab w:val="left" w:pos="3600" w:leader="none"/>
                <w:tab w:val="left" w:pos="4320" w:leader="none"/>
                <w:tab w:val="left" w:pos="5040" w:leader="none"/>
                <w:tab w:val="left" w:pos="5760" w:leader="none"/>
                <w:tab w:val="left" w:pos="6480" w:leader="none"/>
                <w:tab w:val="left" w:pos="7200" w:leader="none"/>
                <w:tab w:val="left" w:pos="7920" w:leader="none"/>
              </w:tabs>
              <w:spacing w:before="240" w:after="0"/>
              <w:contextualSpacing/>
              <w:jc w:val="both"/>
              <w:rPr>
                <w:rFonts w:eastAsia="Calibri"/>
                <w:sz w:val="20"/>
                <w:szCs w:val="20"/>
              </w:rPr>
            </w:pPr>
            <w:r>
              <w:rPr>
                <w:rFonts w:eastAsia="Calibri"/>
                <w:sz w:val="20"/>
                <w:szCs w:val="20"/>
              </w:rPr>
              <w:t>Zemlje projektnih partnera: Turska, Portugal, Rumunjska, Hrvatska</w:t>
            </w:r>
          </w:p>
          <w:p>
            <w:pPr>
              <w:pStyle w:val="Normal"/>
              <w:widowControl w:val="false"/>
              <w:tabs>
                <w:tab w:val="clear" w:pos="708"/>
                <w:tab w:val="left" w:pos="-1440" w:leader="none"/>
                <w:tab w:val="left" w:pos="-720" w:leader="none"/>
                <w:tab w:val="left" w:pos="284" w:leader="none"/>
                <w:tab w:val="left" w:pos="567" w:leader="none"/>
                <w:tab w:val="left" w:pos="720" w:leader="none"/>
                <w:tab w:val="left" w:pos="1080" w:leader="none"/>
                <w:tab w:val="left" w:pos="1440" w:leader="none"/>
                <w:tab w:val="left" w:pos="1800" w:leader="none"/>
                <w:tab w:val="left" w:pos="2520" w:leader="none"/>
                <w:tab w:val="left" w:pos="2880" w:leader="none"/>
                <w:tab w:val="left" w:pos="3240" w:leader="none"/>
                <w:tab w:val="left" w:pos="3600" w:leader="none"/>
                <w:tab w:val="left" w:pos="4320" w:leader="none"/>
                <w:tab w:val="left" w:pos="5040" w:leader="none"/>
                <w:tab w:val="left" w:pos="5760" w:leader="none"/>
                <w:tab w:val="left" w:pos="6480" w:leader="none"/>
                <w:tab w:val="left" w:pos="7200" w:leader="none"/>
                <w:tab w:val="left" w:pos="7920" w:leader="none"/>
              </w:tabs>
              <w:spacing w:before="240" w:after="0"/>
              <w:contextualSpacing/>
              <w:jc w:val="both"/>
              <w:rPr>
                <w:rFonts w:eastAsia="Calibri"/>
                <w:sz w:val="20"/>
                <w:szCs w:val="20"/>
              </w:rPr>
            </w:pPr>
            <w:r>
              <w:rPr>
                <w:rFonts w:eastAsia="Calibri"/>
                <w:sz w:val="20"/>
                <w:szCs w:val="20"/>
              </w:rPr>
              <w:t>Učitelji Osnovne škole Podmurvice uključeni u projekt: Ana Marinić (koordinator), Roberta Bonassin, Dijana Toljanić, Ines Begić</w:t>
            </w:r>
          </w:p>
          <w:p>
            <w:pPr>
              <w:pStyle w:val="Normal"/>
              <w:widowControl w:val="false"/>
              <w:tabs>
                <w:tab w:val="clear" w:pos="708"/>
                <w:tab w:val="left" w:pos="-1440" w:leader="none"/>
                <w:tab w:val="left" w:pos="-720" w:leader="none"/>
                <w:tab w:val="left" w:pos="284" w:leader="none"/>
                <w:tab w:val="left" w:pos="567" w:leader="none"/>
                <w:tab w:val="left" w:pos="720" w:leader="none"/>
                <w:tab w:val="left" w:pos="1080" w:leader="none"/>
                <w:tab w:val="left" w:pos="1440" w:leader="none"/>
                <w:tab w:val="left" w:pos="1800" w:leader="none"/>
                <w:tab w:val="left" w:pos="2520" w:leader="none"/>
                <w:tab w:val="left" w:pos="2880" w:leader="none"/>
                <w:tab w:val="left" w:pos="3240" w:leader="none"/>
                <w:tab w:val="left" w:pos="3600" w:leader="none"/>
                <w:tab w:val="left" w:pos="4320" w:leader="none"/>
                <w:tab w:val="left" w:pos="5040" w:leader="none"/>
                <w:tab w:val="left" w:pos="5760" w:leader="none"/>
                <w:tab w:val="left" w:pos="6480" w:leader="none"/>
                <w:tab w:val="left" w:pos="7200" w:leader="none"/>
                <w:tab w:val="left" w:pos="7920" w:leader="none"/>
              </w:tabs>
              <w:spacing w:before="240" w:after="0"/>
              <w:contextualSpacing/>
              <w:jc w:val="both"/>
              <w:rPr>
                <w:rFonts w:eastAsia="Calibri"/>
                <w:sz w:val="20"/>
                <w:szCs w:val="20"/>
              </w:rPr>
            </w:pPr>
            <w:r>
              <w:rPr>
                <w:rFonts w:eastAsia="Calibri"/>
                <w:sz w:val="20"/>
                <w:szCs w:val="20"/>
              </w:rPr>
              <w:t>Ciljevi i ishodi projekta:</w:t>
            </w:r>
          </w:p>
          <w:p>
            <w:pPr>
              <w:pStyle w:val="Normal"/>
              <w:widowControl w:val="false"/>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rPr>
                <w:sz w:val="20"/>
                <w:szCs w:val="20"/>
              </w:rPr>
            </w:pPr>
            <w:r>
              <w:rPr>
                <w:sz w:val="20"/>
                <w:szCs w:val="20"/>
              </w:rPr>
              <w:t>Globalizacija i brzi razvoj novih tehnologija zahtijevaju razvijanje novih vještina. Digitalna i medijska pismenost, komunikacijske i jezične vještine, kritičko mišljenje, višejezičnost i kulturna svijest su neke od njih.</w:t>
            </w:r>
          </w:p>
          <w:p>
            <w:pPr>
              <w:pStyle w:val="Normal"/>
              <w:widowControl w:val="false"/>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rPr>
                <w:sz w:val="20"/>
                <w:szCs w:val="20"/>
              </w:rPr>
            </w:pPr>
            <w:r>
              <w:rPr>
                <w:sz w:val="20"/>
                <w:szCs w:val="20"/>
              </w:rPr>
              <w:t xml:space="preserve">Glavni cilj projekta je učenje i razvijanje spomenutih vještina u kontekstu kulturne baštine korištenjem raznovrsnih web 2.0 alata. Želimo potaknuti naše učenike da istražuju bogatu europsku kulturnu baštinu, implementirati kulturnu baštinu kroz ostvarenje predmetnih ishoda, osvijestiti mjesto koje zauzima u životu i uputiti ih kako da je promoviraju i njeguju. </w:t>
            </w:r>
          </w:p>
          <w:p>
            <w:pPr>
              <w:pStyle w:val="Normal"/>
              <w:widowControl w:val="false"/>
              <w:rPr>
                <w:sz w:val="20"/>
                <w:szCs w:val="20"/>
                <w:lang w:val="en-US"/>
              </w:rPr>
            </w:pPr>
            <w:r>
              <w:rPr>
                <w:sz w:val="20"/>
                <w:szCs w:val="20"/>
                <w:lang w:val="en-US"/>
              </w:rPr>
            </w:r>
          </w:p>
          <w:p>
            <w:pPr>
              <w:pStyle w:val="Normal"/>
              <w:widowControl w:val="false"/>
              <w:rPr>
                <w:sz w:val="20"/>
                <w:szCs w:val="20"/>
                <w:lang w:val="en-US"/>
              </w:rPr>
            </w:pPr>
            <w:r>
              <w:rPr>
                <w:sz w:val="20"/>
                <w:szCs w:val="20"/>
                <w:lang w:val="en-US"/>
              </w:rPr>
              <w:t xml:space="preserve">Plan raspodjele dodjeljenih financijskih sredstava: </w:t>
            </w:r>
          </w:p>
          <w:p>
            <w:pPr>
              <w:pStyle w:val="ListParagraph"/>
              <w:widowControl w:val="false"/>
              <w:numPr>
                <w:ilvl w:val="0"/>
                <w:numId w:val="2"/>
              </w:numPr>
              <w:spacing w:lineRule="auto" w:line="259" w:before="0" w:after="160"/>
              <w:contextualSpacing/>
              <w:rPr>
                <w:lang w:val="en-US"/>
              </w:rPr>
            </w:pPr>
            <w:r>
              <w:rPr>
                <w:lang w:val="en-US"/>
              </w:rPr>
              <w:t>mobilnostima u Tursku, Portugal i Rumunjsku na putovanja, smještaj i dnevnice za učitelje (po dvoje)</w:t>
            </w:r>
          </w:p>
          <w:p>
            <w:pPr>
              <w:pStyle w:val="ListParagraph"/>
              <w:widowControl w:val="false"/>
              <w:numPr>
                <w:ilvl w:val="0"/>
                <w:numId w:val="2"/>
              </w:numPr>
              <w:spacing w:lineRule="auto" w:line="259" w:before="0" w:after="160"/>
              <w:contextualSpacing/>
              <w:rPr>
                <w:lang w:val="en-US"/>
              </w:rPr>
            </w:pPr>
            <w:r>
              <w:rPr>
                <w:lang w:val="en-US"/>
              </w:rPr>
              <w:t>naknada za virtualnu mobilnost</w:t>
            </w:r>
          </w:p>
          <w:p>
            <w:pPr>
              <w:pStyle w:val="ListParagraph"/>
              <w:widowControl w:val="false"/>
              <w:numPr>
                <w:ilvl w:val="0"/>
                <w:numId w:val="2"/>
              </w:numPr>
              <w:spacing w:lineRule="auto" w:line="259" w:before="0" w:after="160"/>
              <w:contextualSpacing/>
              <w:rPr>
                <w:lang w:val="en-US"/>
              </w:rPr>
            </w:pPr>
            <w:r>
              <w:rPr>
                <w:lang w:val="en-US"/>
              </w:rPr>
              <w:t>ugoščivanje učitelja (Turska, Portugal, Rumunjska) i učenika (Turska, Portugal) zemalja partnera u mjesecu ožujku/travnju 2023. u obliku ručkova, terenske nastave, ulaznice, materijala za radionice, honorara za predavače i ostalog</w:t>
            </w:r>
          </w:p>
          <w:p>
            <w:pPr>
              <w:pStyle w:val="Normal"/>
              <w:widowControl w:val="false"/>
              <w:jc w:val="both"/>
              <w:rPr>
                <w:b/>
                <w:b/>
                <w:sz w:val="20"/>
                <w:szCs w:val="20"/>
              </w:rPr>
            </w:pPr>
            <w:r>
              <w:rPr>
                <w:b/>
                <w:sz w:val="20"/>
                <w:szCs w:val="20"/>
              </w:rPr>
            </w:r>
          </w:p>
        </w:tc>
      </w:tr>
    </w:tbl>
    <w:p>
      <w:pPr>
        <w:pStyle w:val="Normal"/>
        <w:rPr/>
      </w:pPr>
      <w:r>
        <w:rPr/>
      </w:r>
    </w:p>
    <w:p>
      <w:pPr>
        <w:pStyle w:val="Normal"/>
        <w:rPr/>
      </w:pPr>
      <w:r>
        <w:rPr/>
      </w:r>
    </w:p>
    <w:p>
      <w:pPr>
        <w:pStyle w:val="Normal"/>
        <w:numPr>
          <w:ilvl w:val="0"/>
          <w:numId w:val="5"/>
        </w:numPr>
        <w:jc w:val="both"/>
        <w:rPr>
          <w:b/>
          <w:b/>
        </w:rPr>
      </w:pPr>
      <w:r>
        <w:rPr>
          <w:b/>
        </w:rPr>
        <w:t>Pokazatelji rezultata na razini aktivnosti unutar programa 1139 Ostale programske aktivnosti osnovnih škola</w:t>
      </w:r>
    </w:p>
    <w:p>
      <w:pPr>
        <w:pStyle w:val="ListParagraph"/>
        <w:spacing w:lineRule="auto" w:line="276"/>
        <w:ind w:left="0" w:hanging="0"/>
        <w:rPr>
          <w:b/>
          <w:b/>
        </w:rPr>
      </w:pPr>
      <w:r>
        <w:rPr>
          <w:b/>
        </w:rPr>
      </w:r>
    </w:p>
    <w:tbl>
      <w:tblPr>
        <w:tblW w:w="9654" w:type="dxa"/>
        <w:jc w:val="left"/>
        <w:tblInd w:w="93" w:type="dxa"/>
        <w:tblLayout w:type="fixed"/>
        <w:tblCellMar>
          <w:top w:w="0" w:type="dxa"/>
          <w:left w:w="108" w:type="dxa"/>
          <w:bottom w:w="0" w:type="dxa"/>
          <w:right w:w="108" w:type="dxa"/>
        </w:tblCellMar>
        <w:tblLook w:firstRow="1" w:noVBand="1" w:lastRow="0" w:firstColumn="1" w:lastColumn="0" w:noHBand="0" w:val="04a0"/>
      </w:tblPr>
      <w:tblGrid>
        <w:gridCol w:w="2000"/>
        <w:gridCol w:w="2126"/>
        <w:gridCol w:w="991"/>
        <w:gridCol w:w="1418"/>
        <w:gridCol w:w="1559"/>
        <w:gridCol w:w="1559"/>
      </w:tblGrid>
      <w:tr>
        <w:trPr>
          <w:trHeight w:val="564" w:hRule="atLeast"/>
        </w:trPr>
        <w:tc>
          <w:tcPr>
            <w:tcW w:w="200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b/>
                <w:b/>
                <w:color w:val="000000"/>
                <w:sz w:val="20"/>
                <w:szCs w:val="20"/>
              </w:rPr>
            </w:pPr>
            <w:r>
              <w:rPr>
                <w:b/>
                <w:color w:val="000000"/>
                <w:sz w:val="20"/>
                <w:szCs w:val="20"/>
              </w:rPr>
              <w:t>Pokazatelj</w:t>
            </w:r>
          </w:p>
          <w:p>
            <w:pPr>
              <w:pStyle w:val="Normal"/>
              <w:widowControl w:val="false"/>
              <w:jc w:val="center"/>
              <w:rPr>
                <w:b/>
                <w:b/>
                <w:color w:val="000000"/>
                <w:sz w:val="20"/>
                <w:szCs w:val="20"/>
              </w:rPr>
            </w:pPr>
            <w:r>
              <w:rPr>
                <w:b/>
                <w:color w:val="000000"/>
                <w:sz w:val="20"/>
                <w:szCs w:val="20"/>
              </w:rPr>
              <w:t>rezultata</w:t>
            </w:r>
          </w:p>
        </w:tc>
        <w:tc>
          <w:tcPr>
            <w:tcW w:w="2126" w:type="dxa"/>
            <w:tcBorders>
              <w:top w:val="single" w:sz="4" w:space="0" w:color="000000"/>
              <w:bottom w:val="single" w:sz="4" w:space="0" w:color="000000"/>
              <w:right w:val="single" w:sz="4" w:space="0" w:color="000000"/>
            </w:tcBorders>
            <w:shd w:color="auto" w:fill="auto" w:val="clear"/>
            <w:vAlign w:val="center"/>
          </w:tcPr>
          <w:p>
            <w:pPr>
              <w:pStyle w:val="Normal"/>
              <w:widowControl w:val="false"/>
              <w:jc w:val="center"/>
              <w:rPr>
                <w:b/>
                <w:b/>
                <w:color w:val="000000"/>
                <w:sz w:val="20"/>
                <w:szCs w:val="20"/>
              </w:rPr>
            </w:pPr>
            <w:r>
              <w:rPr>
                <w:b/>
                <w:color w:val="000000"/>
                <w:sz w:val="20"/>
                <w:szCs w:val="20"/>
              </w:rPr>
              <w:t>Definicija pokazatelja</w:t>
            </w:r>
          </w:p>
        </w:tc>
        <w:tc>
          <w:tcPr>
            <w:tcW w:w="991" w:type="dxa"/>
            <w:tcBorders>
              <w:top w:val="single" w:sz="4" w:space="0" w:color="000000"/>
              <w:bottom w:val="single" w:sz="4" w:space="0" w:color="000000"/>
              <w:right w:val="single" w:sz="4" w:space="0" w:color="000000"/>
            </w:tcBorders>
            <w:shd w:color="auto" w:fill="auto" w:val="clear"/>
            <w:vAlign w:val="center"/>
          </w:tcPr>
          <w:p>
            <w:pPr>
              <w:pStyle w:val="Normal"/>
              <w:widowControl w:val="false"/>
              <w:jc w:val="center"/>
              <w:rPr>
                <w:b/>
                <w:b/>
                <w:color w:val="000000"/>
                <w:sz w:val="20"/>
                <w:szCs w:val="20"/>
              </w:rPr>
            </w:pPr>
            <w:r>
              <w:rPr>
                <w:b/>
                <w:color w:val="000000"/>
                <w:sz w:val="20"/>
                <w:szCs w:val="20"/>
              </w:rPr>
              <w:t>Jedinica</w:t>
            </w:r>
          </w:p>
        </w:tc>
        <w:tc>
          <w:tcPr>
            <w:tcW w:w="1418"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b/>
                <w:b/>
                <w:color w:val="000000"/>
                <w:sz w:val="20"/>
                <w:szCs w:val="20"/>
              </w:rPr>
            </w:pPr>
            <w:r>
              <w:rPr>
                <w:b/>
                <w:color w:val="000000"/>
                <w:sz w:val="20"/>
                <w:szCs w:val="20"/>
              </w:rPr>
              <w:t>Polazna vrijednost 2021.</w:t>
            </w:r>
          </w:p>
        </w:tc>
        <w:tc>
          <w:tcPr>
            <w:tcW w:w="1559" w:type="dxa"/>
            <w:tcBorders>
              <w:top w:val="single" w:sz="4" w:space="0" w:color="000000"/>
              <w:bottom w:val="single" w:sz="4" w:space="0" w:color="000000"/>
              <w:right w:val="single" w:sz="4" w:space="0" w:color="000000"/>
            </w:tcBorders>
            <w:shd w:color="auto" w:fill="auto" w:val="clear"/>
            <w:vAlign w:val="center"/>
          </w:tcPr>
          <w:p>
            <w:pPr>
              <w:pStyle w:val="Normal"/>
              <w:widowControl w:val="false"/>
              <w:jc w:val="center"/>
              <w:rPr>
                <w:b/>
                <w:b/>
                <w:color w:val="000000"/>
                <w:sz w:val="20"/>
                <w:szCs w:val="20"/>
              </w:rPr>
            </w:pPr>
            <w:r>
              <w:rPr>
                <w:b/>
                <w:color w:val="000000"/>
                <w:sz w:val="20"/>
                <w:szCs w:val="20"/>
              </w:rPr>
              <w:t>Ciljana vrijednost</w:t>
            </w:r>
          </w:p>
          <w:p>
            <w:pPr>
              <w:pStyle w:val="Normal"/>
              <w:widowControl w:val="false"/>
              <w:jc w:val="center"/>
              <w:rPr>
                <w:b/>
                <w:b/>
                <w:color w:val="000000"/>
                <w:sz w:val="20"/>
                <w:szCs w:val="20"/>
              </w:rPr>
            </w:pPr>
            <w:r>
              <w:rPr>
                <w:b/>
                <w:color w:val="000000"/>
                <w:sz w:val="20"/>
                <w:szCs w:val="20"/>
              </w:rPr>
              <w:t>2022.</w:t>
            </w:r>
          </w:p>
        </w:tc>
        <w:tc>
          <w:tcPr>
            <w:tcW w:w="1559" w:type="dxa"/>
            <w:tcBorders>
              <w:top w:val="single" w:sz="4" w:space="0" w:color="000000"/>
              <w:bottom w:val="single" w:sz="4" w:space="0" w:color="000000"/>
              <w:right w:val="single" w:sz="4" w:space="0" w:color="000000"/>
            </w:tcBorders>
            <w:shd w:color="auto" w:fill="auto" w:val="clear"/>
            <w:vAlign w:val="center"/>
          </w:tcPr>
          <w:p>
            <w:pPr>
              <w:pStyle w:val="Normal"/>
              <w:widowControl w:val="false"/>
              <w:jc w:val="center"/>
              <w:rPr>
                <w:b/>
                <w:b/>
                <w:color w:val="000000"/>
                <w:sz w:val="20"/>
                <w:szCs w:val="20"/>
              </w:rPr>
            </w:pPr>
            <w:r>
              <w:rPr>
                <w:b/>
                <w:color w:val="000000"/>
                <w:sz w:val="20"/>
                <w:szCs w:val="20"/>
              </w:rPr>
              <w:t>Ostvarena vrijednost</w:t>
            </w:r>
          </w:p>
          <w:p>
            <w:pPr>
              <w:pStyle w:val="Normal"/>
              <w:widowControl w:val="false"/>
              <w:jc w:val="center"/>
              <w:rPr>
                <w:b/>
                <w:b/>
                <w:color w:val="000000"/>
                <w:sz w:val="20"/>
                <w:szCs w:val="20"/>
              </w:rPr>
            </w:pPr>
            <w:r>
              <w:rPr>
                <w:b/>
                <w:color w:val="000000"/>
                <w:sz w:val="20"/>
                <w:szCs w:val="20"/>
              </w:rPr>
              <w:t>2022.</w:t>
            </w:r>
          </w:p>
        </w:tc>
      </w:tr>
      <w:tr>
        <w:trPr>
          <w:trHeight w:val="564" w:hRule="atLeast"/>
        </w:trPr>
        <w:tc>
          <w:tcPr>
            <w:tcW w:w="200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rPr>
                <w:b/>
                <w:b/>
                <w:color w:val="000000"/>
                <w:sz w:val="20"/>
                <w:szCs w:val="20"/>
              </w:rPr>
            </w:pPr>
            <w:r>
              <w:rPr>
                <w:b/>
                <w:color w:val="000000"/>
                <w:sz w:val="20"/>
                <w:szCs w:val="20"/>
              </w:rPr>
              <w:t>A113901</w:t>
            </w:r>
          </w:p>
          <w:p>
            <w:pPr>
              <w:pStyle w:val="Normal"/>
              <w:widowControl w:val="false"/>
              <w:rPr>
                <w:color w:val="000000"/>
                <w:sz w:val="20"/>
                <w:szCs w:val="20"/>
              </w:rPr>
            </w:pPr>
            <w:r>
              <w:rPr>
                <w:color w:val="000000"/>
                <w:sz w:val="20"/>
                <w:szCs w:val="20"/>
              </w:rPr>
              <w:t xml:space="preserve">- održavanje provedbe postojećih aktivnosti </w:t>
            </w:r>
          </w:p>
        </w:tc>
        <w:tc>
          <w:tcPr>
            <w:tcW w:w="2126" w:type="dxa"/>
            <w:tcBorders>
              <w:top w:val="single" w:sz="4" w:space="0" w:color="000000"/>
              <w:bottom w:val="single" w:sz="4" w:space="0" w:color="000000"/>
              <w:right w:val="single" w:sz="4" w:space="0" w:color="000000"/>
            </w:tcBorders>
            <w:shd w:color="auto" w:fill="auto" w:val="clear"/>
            <w:vAlign w:val="center"/>
          </w:tcPr>
          <w:p>
            <w:pPr>
              <w:pStyle w:val="Normal"/>
              <w:widowControl w:val="false"/>
              <w:rPr>
                <w:color w:val="000000"/>
                <w:sz w:val="20"/>
                <w:szCs w:val="20"/>
              </w:rPr>
            </w:pPr>
            <w:r>
              <w:rPr>
                <w:color w:val="000000"/>
                <w:sz w:val="20"/>
                <w:szCs w:val="20"/>
              </w:rPr>
              <w:t>Provedba aktivnosti u svrhu kvalitetnijeg školovanja učenika</w:t>
            </w:r>
          </w:p>
        </w:tc>
        <w:tc>
          <w:tcPr>
            <w:tcW w:w="991" w:type="dxa"/>
            <w:tcBorders>
              <w:top w:val="single" w:sz="4" w:space="0" w:color="000000"/>
              <w:bottom w:val="single" w:sz="4" w:space="0" w:color="000000"/>
              <w:right w:val="single" w:sz="4" w:space="0" w:color="000000"/>
            </w:tcBorders>
            <w:shd w:color="auto" w:fill="auto" w:val="clear"/>
            <w:vAlign w:val="center"/>
          </w:tcPr>
          <w:p>
            <w:pPr>
              <w:pStyle w:val="Normal"/>
              <w:widowControl w:val="false"/>
              <w:jc w:val="center"/>
              <w:rPr>
                <w:color w:val="000000"/>
                <w:sz w:val="20"/>
                <w:szCs w:val="20"/>
              </w:rPr>
            </w:pPr>
            <w:r>
              <w:rPr>
                <w:color w:val="000000"/>
                <w:sz w:val="20"/>
                <w:szCs w:val="20"/>
              </w:rPr>
              <w:t>postotak</w:t>
            </w:r>
          </w:p>
        </w:tc>
        <w:tc>
          <w:tcPr>
            <w:tcW w:w="1418"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color w:val="000000"/>
                <w:sz w:val="20"/>
                <w:szCs w:val="20"/>
              </w:rPr>
            </w:pPr>
            <w:r>
              <w:rPr>
                <w:color w:val="000000"/>
                <w:sz w:val="20"/>
                <w:szCs w:val="20"/>
              </w:rPr>
              <w:t>100 %</w:t>
            </w:r>
          </w:p>
        </w:tc>
        <w:tc>
          <w:tcPr>
            <w:tcW w:w="1559" w:type="dxa"/>
            <w:tcBorders>
              <w:top w:val="single" w:sz="4" w:space="0" w:color="000000"/>
              <w:bottom w:val="single" w:sz="4" w:space="0" w:color="000000"/>
              <w:right w:val="single" w:sz="4" w:space="0" w:color="000000"/>
            </w:tcBorders>
            <w:shd w:color="auto" w:fill="auto" w:val="clear"/>
            <w:vAlign w:val="center"/>
          </w:tcPr>
          <w:p>
            <w:pPr>
              <w:pStyle w:val="Normal"/>
              <w:widowControl w:val="false"/>
              <w:jc w:val="center"/>
              <w:rPr>
                <w:sz w:val="20"/>
                <w:szCs w:val="20"/>
              </w:rPr>
            </w:pPr>
            <w:r>
              <w:rPr>
                <w:sz w:val="20"/>
                <w:szCs w:val="20"/>
              </w:rPr>
              <w:t>100 %</w:t>
            </w:r>
          </w:p>
        </w:tc>
        <w:tc>
          <w:tcPr>
            <w:tcW w:w="1559" w:type="dxa"/>
            <w:tcBorders>
              <w:top w:val="single" w:sz="4" w:space="0" w:color="000000"/>
              <w:bottom w:val="single" w:sz="4" w:space="0" w:color="000000"/>
              <w:right w:val="single" w:sz="4" w:space="0" w:color="000000"/>
            </w:tcBorders>
            <w:shd w:color="auto" w:fill="auto" w:val="clear"/>
            <w:vAlign w:val="center"/>
          </w:tcPr>
          <w:p>
            <w:pPr>
              <w:pStyle w:val="Normal"/>
              <w:widowControl w:val="false"/>
              <w:jc w:val="center"/>
              <w:rPr>
                <w:sz w:val="20"/>
                <w:szCs w:val="20"/>
              </w:rPr>
            </w:pPr>
            <w:r>
              <w:rPr>
                <w:sz w:val="20"/>
                <w:szCs w:val="20"/>
              </w:rPr>
              <w:t>25 %</w:t>
            </w:r>
          </w:p>
        </w:tc>
      </w:tr>
      <w:tr>
        <w:trPr>
          <w:trHeight w:val="564" w:hRule="atLeast"/>
        </w:trPr>
        <w:tc>
          <w:tcPr>
            <w:tcW w:w="200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b/>
                <w:b/>
                <w:sz w:val="20"/>
                <w:szCs w:val="20"/>
              </w:rPr>
            </w:pPr>
            <w:r>
              <w:rPr>
                <w:b/>
                <w:sz w:val="20"/>
                <w:szCs w:val="20"/>
              </w:rPr>
              <w:t>A113913</w:t>
            </w:r>
          </w:p>
          <w:p>
            <w:pPr>
              <w:pStyle w:val="Normal"/>
              <w:widowControl w:val="false"/>
              <w:rPr>
                <w:sz w:val="20"/>
                <w:szCs w:val="20"/>
              </w:rPr>
            </w:pPr>
            <w:r>
              <w:rPr>
                <w:sz w:val="20"/>
                <w:szCs w:val="20"/>
              </w:rPr>
              <w:t>- smanjenje troškova obveznog školovanja za roditelje osnovnoškolaca</w:t>
            </w:r>
          </w:p>
        </w:tc>
        <w:tc>
          <w:tcPr>
            <w:tcW w:w="2126" w:type="dxa"/>
            <w:tcBorders>
              <w:top w:val="single" w:sz="4" w:space="0" w:color="000000"/>
              <w:bottom w:val="single" w:sz="4" w:space="0" w:color="000000"/>
              <w:right w:val="single" w:sz="4" w:space="0" w:color="000000"/>
            </w:tcBorders>
            <w:shd w:color="auto" w:fill="auto" w:val="clear"/>
            <w:vAlign w:val="center"/>
          </w:tcPr>
          <w:p>
            <w:pPr>
              <w:pStyle w:val="Normal"/>
              <w:widowControl w:val="false"/>
              <w:rPr>
                <w:color w:val="000000"/>
                <w:sz w:val="20"/>
                <w:szCs w:val="20"/>
              </w:rPr>
            </w:pPr>
            <w:r>
              <w:rPr>
                <w:color w:val="000000"/>
                <w:sz w:val="20"/>
                <w:szCs w:val="20"/>
              </w:rPr>
              <w:t>Nabava potrebnih udžbenika za sve učenike osnovnih škola</w:t>
            </w:r>
          </w:p>
        </w:tc>
        <w:tc>
          <w:tcPr>
            <w:tcW w:w="991" w:type="dxa"/>
            <w:tcBorders>
              <w:top w:val="single" w:sz="4" w:space="0" w:color="000000"/>
              <w:bottom w:val="single" w:sz="4" w:space="0" w:color="000000"/>
              <w:right w:val="single" w:sz="4" w:space="0" w:color="000000"/>
            </w:tcBorders>
            <w:shd w:color="auto" w:fill="auto" w:val="clear"/>
            <w:vAlign w:val="center"/>
          </w:tcPr>
          <w:p>
            <w:pPr>
              <w:pStyle w:val="Normal"/>
              <w:widowControl w:val="false"/>
              <w:jc w:val="center"/>
              <w:rPr>
                <w:color w:val="000000"/>
                <w:sz w:val="20"/>
                <w:szCs w:val="20"/>
              </w:rPr>
            </w:pPr>
            <w:r>
              <w:rPr>
                <w:color w:val="000000"/>
                <w:sz w:val="20"/>
                <w:szCs w:val="20"/>
              </w:rPr>
              <w:t>postotak</w:t>
            </w:r>
          </w:p>
        </w:tc>
        <w:tc>
          <w:tcPr>
            <w:tcW w:w="1418"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color w:val="000000"/>
                <w:sz w:val="20"/>
                <w:szCs w:val="20"/>
              </w:rPr>
            </w:pPr>
            <w:r>
              <w:rPr>
                <w:color w:val="000000"/>
                <w:sz w:val="20"/>
                <w:szCs w:val="20"/>
              </w:rPr>
              <w:t>100 %</w:t>
            </w:r>
          </w:p>
        </w:tc>
        <w:tc>
          <w:tcPr>
            <w:tcW w:w="1559" w:type="dxa"/>
            <w:tcBorders>
              <w:top w:val="single" w:sz="4" w:space="0" w:color="000000"/>
              <w:bottom w:val="single" w:sz="4" w:space="0" w:color="000000"/>
              <w:right w:val="single" w:sz="4" w:space="0" w:color="000000"/>
            </w:tcBorders>
            <w:shd w:color="auto" w:fill="auto" w:val="clear"/>
            <w:vAlign w:val="center"/>
          </w:tcPr>
          <w:p>
            <w:pPr>
              <w:pStyle w:val="Normal"/>
              <w:widowControl w:val="false"/>
              <w:jc w:val="center"/>
              <w:rPr>
                <w:sz w:val="20"/>
                <w:szCs w:val="20"/>
              </w:rPr>
            </w:pPr>
            <w:r>
              <w:rPr>
                <w:sz w:val="20"/>
                <w:szCs w:val="20"/>
              </w:rPr>
              <w:t>100 %</w:t>
            </w:r>
          </w:p>
        </w:tc>
        <w:tc>
          <w:tcPr>
            <w:tcW w:w="1559" w:type="dxa"/>
            <w:tcBorders>
              <w:top w:val="single" w:sz="4" w:space="0" w:color="000000"/>
              <w:bottom w:val="single" w:sz="4" w:space="0" w:color="000000"/>
              <w:right w:val="single" w:sz="4" w:space="0" w:color="000000"/>
            </w:tcBorders>
            <w:shd w:color="auto" w:fill="auto" w:val="clear"/>
            <w:vAlign w:val="center"/>
          </w:tcPr>
          <w:p>
            <w:pPr>
              <w:pStyle w:val="Normal"/>
              <w:widowControl w:val="false"/>
              <w:jc w:val="center"/>
              <w:rPr>
                <w:sz w:val="20"/>
                <w:szCs w:val="20"/>
              </w:rPr>
            </w:pPr>
            <w:r>
              <w:rPr>
                <w:sz w:val="20"/>
                <w:szCs w:val="20"/>
              </w:rPr>
              <w:t>63%</w:t>
            </w:r>
          </w:p>
        </w:tc>
      </w:tr>
      <w:tr>
        <w:trPr>
          <w:trHeight w:val="564" w:hRule="atLeast"/>
        </w:trPr>
        <w:tc>
          <w:tcPr>
            <w:tcW w:w="200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b/>
                <w:b/>
                <w:sz w:val="20"/>
                <w:szCs w:val="20"/>
              </w:rPr>
            </w:pPr>
            <w:r>
              <w:rPr>
                <w:b/>
                <w:sz w:val="20"/>
                <w:szCs w:val="20"/>
              </w:rPr>
              <w:t>A113914</w:t>
            </w:r>
          </w:p>
          <w:p>
            <w:pPr>
              <w:pStyle w:val="Normal"/>
              <w:widowControl w:val="false"/>
              <w:rPr>
                <w:sz w:val="20"/>
                <w:szCs w:val="20"/>
              </w:rPr>
            </w:pPr>
            <w:r>
              <w:rPr>
                <w:sz w:val="20"/>
                <w:szCs w:val="20"/>
              </w:rPr>
              <w:t>-  broj zaposlenika</w:t>
            </w:r>
          </w:p>
        </w:tc>
        <w:tc>
          <w:tcPr>
            <w:tcW w:w="2126" w:type="dxa"/>
            <w:tcBorders>
              <w:top w:val="single" w:sz="4" w:space="0" w:color="000000"/>
              <w:bottom w:val="single" w:sz="4" w:space="0" w:color="000000"/>
              <w:right w:val="single" w:sz="4" w:space="0" w:color="000000"/>
            </w:tcBorders>
            <w:shd w:color="auto" w:fill="auto" w:val="clear"/>
            <w:vAlign w:val="center"/>
          </w:tcPr>
          <w:p>
            <w:pPr>
              <w:pStyle w:val="Normal"/>
              <w:widowControl w:val="false"/>
              <w:rPr>
                <w:sz w:val="20"/>
                <w:szCs w:val="20"/>
              </w:rPr>
            </w:pPr>
            <w:r>
              <w:rPr>
                <w:sz w:val="20"/>
                <w:szCs w:val="20"/>
              </w:rPr>
              <w:t>Troškovi plaća i naknada vezani uz rad</w:t>
            </w:r>
          </w:p>
        </w:tc>
        <w:tc>
          <w:tcPr>
            <w:tcW w:w="991" w:type="dxa"/>
            <w:tcBorders>
              <w:top w:val="single" w:sz="4" w:space="0" w:color="000000"/>
              <w:bottom w:val="single" w:sz="4" w:space="0" w:color="000000"/>
              <w:right w:val="single" w:sz="4" w:space="0" w:color="000000"/>
            </w:tcBorders>
            <w:shd w:color="auto" w:fill="auto" w:val="clear"/>
            <w:vAlign w:val="center"/>
          </w:tcPr>
          <w:p>
            <w:pPr>
              <w:pStyle w:val="Normal"/>
              <w:widowControl w:val="false"/>
              <w:jc w:val="center"/>
              <w:rPr>
                <w:sz w:val="20"/>
                <w:szCs w:val="20"/>
              </w:rPr>
            </w:pPr>
            <w:r>
              <w:rPr>
                <w:sz w:val="20"/>
                <w:szCs w:val="20"/>
              </w:rPr>
              <w:t>postotak</w:t>
            </w:r>
          </w:p>
        </w:tc>
        <w:tc>
          <w:tcPr>
            <w:tcW w:w="1418"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sz w:val="20"/>
                <w:szCs w:val="20"/>
              </w:rPr>
            </w:pPr>
            <w:r>
              <w:rPr>
                <w:color w:val="000000"/>
                <w:sz w:val="20"/>
                <w:szCs w:val="20"/>
              </w:rPr>
              <w:t>100 %</w:t>
            </w:r>
          </w:p>
        </w:tc>
        <w:tc>
          <w:tcPr>
            <w:tcW w:w="1559" w:type="dxa"/>
            <w:tcBorders>
              <w:top w:val="single" w:sz="4" w:space="0" w:color="000000"/>
              <w:bottom w:val="single" w:sz="4" w:space="0" w:color="000000"/>
              <w:right w:val="single" w:sz="4" w:space="0" w:color="000000"/>
            </w:tcBorders>
            <w:shd w:color="auto" w:fill="auto" w:val="clear"/>
            <w:vAlign w:val="center"/>
          </w:tcPr>
          <w:p>
            <w:pPr>
              <w:pStyle w:val="Normal"/>
              <w:widowControl w:val="false"/>
              <w:jc w:val="center"/>
              <w:rPr>
                <w:color w:val="000000"/>
                <w:sz w:val="20"/>
                <w:szCs w:val="20"/>
              </w:rPr>
            </w:pPr>
            <w:r>
              <w:rPr>
                <w:color w:val="000000"/>
                <w:sz w:val="20"/>
                <w:szCs w:val="20"/>
              </w:rPr>
              <w:t>101 %</w:t>
            </w:r>
          </w:p>
        </w:tc>
        <w:tc>
          <w:tcPr>
            <w:tcW w:w="1559" w:type="dxa"/>
            <w:tcBorders>
              <w:top w:val="single" w:sz="4" w:space="0" w:color="000000"/>
              <w:bottom w:val="single" w:sz="4" w:space="0" w:color="000000"/>
              <w:right w:val="single" w:sz="4" w:space="0" w:color="000000"/>
            </w:tcBorders>
            <w:shd w:color="auto" w:fill="auto" w:val="clear"/>
            <w:vAlign w:val="center"/>
          </w:tcPr>
          <w:p>
            <w:pPr>
              <w:pStyle w:val="Normal"/>
              <w:widowControl w:val="false"/>
              <w:jc w:val="center"/>
              <w:rPr>
                <w:color w:val="000000"/>
                <w:sz w:val="20"/>
                <w:szCs w:val="20"/>
              </w:rPr>
            </w:pPr>
            <w:r>
              <w:rPr>
                <w:color w:val="000000"/>
                <w:sz w:val="20"/>
                <w:szCs w:val="20"/>
              </w:rPr>
              <w:t>95 %</w:t>
            </w:r>
          </w:p>
        </w:tc>
      </w:tr>
      <w:tr>
        <w:trPr>
          <w:trHeight w:val="564" w:hRule="atLeast"/>
        </w:trPr>
        <w:tc>
          <w:tcPr>
            <w:tcW w:w="200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rPr>
                <w:b/>
                <w:b/>
                <w:color w:val="000000"/>
                <w:sz w:val="20"/>
                <w:szCs w:val="20"/>
              </w:rPr>
            </w:pPr>
            <w:r>
              <w:rPr>
                <w:b/>
                <w:color w:val="000000"/>
                <w:sz w:val="20"/>
                <w:szCs w:val="20"/>
              </w:rPr>
              <w:t>K113902</w:t>
            </w:r>
          </w:p>
          <w:p>
            <w:pPr>
              <w:pStyle w:val="Normal"/>
              <w:widowControl w:val="false"/>
              <w:rPr>
                <w:b/>
                <w:b/>
                <w:color w:val="000000"/>
                <w:sz w:val="20"/>
                <w:szCs w:val="20"/>
              </w:rPr>
            </w:pPr>
            <w:r>
              <w:rPr>
                <w:color w:val="000000"/>
                <w:sz w:val="20"/>
                <w:szCs w:val="20"/>
              </w:rPr>
              <w:t>- povećanje kvalitete rada s novom opremom</w:t>
            </w:r>
          </w:p>
        </w:tc>
        <w:tc>
          <w:tcPr>
            <w:tcW w:w="2126" w:type="dxa"/>
            <w:tcBorders>
              <w:top w:val="single" w:sz="4" w:space="0" w:color="000000"/>
              <w:bottom w:val="single" w:sz="4" w:space="0" w:color="000000"/>
              <w:right w:val="single" w:sz="4" w:space="0" w:color="000000"/>
            </w:tcBorders>
            <w:shd w:color="auto" w:fill="auto" w:val="clear"/>
            <w:vAlign w:val="center"/>
          </w:tcPr>
          <w:p>
            <w:pPr>
              <w:pStyle w:val="Normal"/>
              <w:widowControl w:val="false"/>
              <w:rPr>
                <w:color w:val="000000"/>
                <w:sz w:val="20"/>
                <w:szCs w:val="20"/>
              </w:rPr>
            </w:pPr>
            <w:r>
              <w:rPr>
                <w:color w:val="000000"/>
                <w:sz w:val="20"/>
                <w:szCs w:val="20"/>
              </w:rPr>
              <w:t>Nabava potrebne opreme za poboljšanje standarda škole</w:t>
            </w:r>
          </w:p>
        </w:tc>
        <w:tc>
          <w:tcPr>
            <w:tcW w:w="991" w:type="dxa"/>
            <w:tcBorders>
              <w:top w:val="single" w:sz="4" w:space="0" w:color="000000"/>
              <w:bottom w:val="single" w:sz="4" w:space="0" w:color="000000"/>
              <w:right w:val="single" w:sz="4" w:space="0" w:color="000000"/>
            </w:tcBorders>
            <w:shd w:color="auto" w:fill="auto" w:val="clear"/>
            <w:vAlign w:val="center"/>
          </w:tcPr>
          <w:p>
            <w:pPr>
              <w:pStyle w:val="Normal"/>
              <w:widowControl w:val="false"/>
              <w:jc w:val="center"/>
              <w:rPr>
                <w:color w:val="000000"/>
                <w:sz w:val="20"/>
                <w:szCs w:val="20"/>
              </w:rPr>
            </w:pPr>
            <w:r>
              <w:rPr>
                <w:color w:val="000000"/>
                <w:sz w:val="20"/>
                <w:szCs w:val="20"/>
              </w:rPr>
              <w:t>postotak</w:t>
            </w:r>
          </w:p>
        </w:tc>
        <w:tc>
          <w:tcPr>
            <w:tcW w:w="1418"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color w:val="000000"/>
                <w:sz w:val="20"/>
                <w:szCs w:val="20"/>
              </w:rPr>
            </w:pPr>
            <w:r>
              <w:rPr>
                <w:color w:val="000000"/>
                <w:sz w:val="20"/>
                <w:szCs w:val="20"/>
              </w:rPr>
              <w:t>100%</w:t>
            </w:r>
          </w:p>
        </w:tc>
        <w:tc>
          <w:tcPr>
            <w:tcW w:w="1559" w:type="dxa"/>
            <w:tcBorders>
              <w:top w:val="single" w:sz="4" w:space="0" w:color="000000"/>
              <w:bottom w:val="single" w:sz="4" w:space="0" w:color="000000"/>
              <w:right w:val="single" w:sz="4" w:space="0" w:color="000000"/>
            </w:tcBorders>
            <w:shd w:color="auto" w:fill="auto" w:val="clear"/>
            <w:vAlign w:val="center"/>
          </w:tcPr>
          <w:p>
            <w:pPr>
              <w:pStyle w:val="Normal"/>
              <w:widowControl w:val="false"/>
              <w:jc w:val="center"/>
              <w:rPr>
                <w:color w:val="000000"/>
                <w:sz w:val="20"/>
                <w:szCs w:val="20"/>
              </w:rPr>
            </w:pPr>
            <w:r>
              <w:rPr>
                <w:color w:val="000000"/>
                <w:sz w:val="20"/>
                <w:szCs w:val="20"/>
              </w:rPr>
              <w:t>100 %</w:t>
            </w:r>
          </w:p>
        </w:tc>
        <w:tc>
          <w:tcPr>
            <w:tcW w:w="1559" w:type="dxa"/>
            <w:tcBorders>
              <w:top w:val="single" w:sz="4" w:space="0" w:color="000000"/>
              <w:bottom w:val="single" w:sz="4" w:space="0" w:color="000000"/>
              <w:right w:val="single" w:sz="4" w:space="0" w:color="000000"/>
            </w:tcBorders>
            <w:shd w:color="auto" w:fill="auto" w:val="clear"/>
            <w:vAlign w:val="center"/>
          </w:tcPr>
          <w:p>
            <w:pPr>
              <w:pStyle w:val="Normal"/>
              <w:widowControl w:val="false"/>
              <w:jc w:val="center"/>
              <w:rPr>
                <w:color w:val="000000"/>
                <w:sz w:val="20"/>
                <w:szCs w:val="20"/>
              </w:rPr>
            </w:pPr>
            <w:r>
              <w:rPr>
                <w:color w:val="000000"/>
                <w:sz w:val="20"/>
                <w:szCs w:val="20"/>
              </w:rPr>
              <w:t>54%</w:t>
            </w:r>
          </w:p>
        </w:tc>
      </w:tr>
      <w:tr>
        <w:trPr>
          <w:trHeight w:val="564" w:hRule="atLeast"/>
        </w:trPr>
        <w:tc>
          <w:tcPr>
            <w:tcW w:w="200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b/>
                <w:b/>
                <w:sz w:val="20"/>
                <w:szCs w:val="20"/>
              </w:rPr>
            </w:pPr>
            <w:r>
              <w:rPr>
                <w:b/>
                <w:sz w:val="20"/>
                <w:szCs w:val="20"/>
              </w:rPr>
              <w:t>T113910</w:t>
            </w:r>
          </w:p>
          <w:p>
            <w:pPr>
              <w:pStyle w:val="Normal"/>
              <w:widowControl w:val="false"/>
              <w:rPr>
                <w:sz w:val="20"/>
                <w:szCs w:val="20"/>
              </w:rPr>
            </w:pPr>
            <w:r>
              <w:rPr>
                <w:b/>
                <w:sz w:val="20"/>
                <w:szCs w:val="20"/>
              </w:rPr>
              <w:t xml:space="preserve">- </w:t>
            </w:r>
            <w:r>
              <w:rPr>
                <w:sz w:val="20"/>
                <w:szCs w:val="20"/>
              </w:rPr>
              <w:t>poticanje konzumacije meda u svakodnevnoj prehrani djece</w:t>
            </w:r>
          </w:p>
        </w:tc>
        <w:tc>
          <w:tcPr>
            <w:tcW w:w="2126" w:type="dxa"/>
            <w:tcBorders>
              <w:top w:val="single" w:sz="4" w:space="0" w:color="000000"/>
              <w:bottom w:val="single" w:sz="4" w:space="0" w:color="000000"/>
              <w:right w:val="single" w:sz="4" w:space="0" w:color="000000"/>
            </w:tcBorders>
            <w:shd w:color="auto" w:fill="auto" w:val="clear"/>
            <w:vAlign w:val="center"/>
          </w:tcPr>
          <w:p>
            <w:pPr>
              <w:pStyle w:val="Normal"/>
              <w:widowControl w:val="false"/>
              <w:rPr>
                <w:color w:val="000000"/>
                <w:sz w:val="20"/>
                <w:szCs w:val="20"/>
              </w:rPr>
            </w:pPr>
            <w:r>
              <w:rPr>
                <w:color w:val="000000"/>
                <w:sz w:val="20"/>
                <w:szCs w:val="20"/>
              </w:rPr>
              <w:t>Provedba aktivnosti u svrhu poboljšanja učeničke prehrane</w:t>
            </w:r>
          </w:p>
        </w:tc>
        <w:tc>
          <w:tcPr>
            <w:tcW w:w="991" w:type="dxa"/>
            <w:tcBorders>
              <w:top w:val="single" w:sz="4" w:space="0" w:color="000000"/>
              <w:bottom w:val="single" w:sz="4" w:space="0" w:color="000000"/>
              <w:right w:val="single" w:sz="4" w:space="0" w:color="000000"/>
            </w:tcBorders>
            <w:shd w:color="auto" w:fill="auto" w:val="clear"/>
            <w:vAlign w:val="center"/>
          </w:tcPr>
          <w:p>
            <w:pPr>
              <w:pStyle w:val="Normal"/>
              <w:widowControl w:val="false"/>
              <w:jc w:val="center"/>
              <w:rPr>
                <w:color w:val="000000"/>
                <w:sz w:val="20"/>
                <w:szCs w:val="20"/>
              </w:rPr>
            </w:pPr>
            <w:r>
              <w:rPr>
                <w:color w:val="000000"/>
                <w:sz w:val="20"/>
                <w:szCs w:val="20"/>
              </w:rPr>
              <w:t>postotak</w:t>
            </w:r>
          </w:p>
        </w:tc>
        <w:tc>
          <w:tcPr>
            <w:tcW w:w="1418"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pPr>
            <w:r>
              <w:rPr>
                <w:color w:val="000000"/>
                <w:sz w:val="20"/>
                <w:szCs w:val="20"/>
              </w:rPr>
              <w:t>100%</w:t>
            </w:r>
          </w:p>
        </w:tc>
        <w:tc>
          <w:tcPr>
            <w:tcW w:w="1559" w:type="dxa"/>
            <w:tcBorders>
              <w:top w:val="single" w:sz="4" w:space="0" w:color="000000"/>
              <w:bottom w:val="single" w:sz="4" w:space="0" w:color="000000"/>
              <w:right w:val="single" w:sz="4" w:space="0" w:color="000000"/>
            </w:tcBorders>
            <w:shd w:color="auto" w:fill="auto" w:val="clear"/>
            <w:vAlign w:val="center"/>
          </w:tcPr>
          <w:p>
            <w:pPr>
              <w:pStyle w:val="Normal"/>
              <w:widowControl w:val="false"/>
              <w:jc w:val="center"/>
              <w:rPr/>
            </w:pPr>
            <w:r>
              <w:rPr>
                <w:color w:val="000000"/>
                <w:sz w:val="20"/>
                <w:szCs w:val="20"/>
              </w:rPr>
              <w:t>100 %</w:t>
            </w:r>
          </w:p>
        </w:tc>
        <w:tc>
          <w:tcPr>
            <w:tcW w:w="1559" w:type="dxa"/>
            <w:tcBorders>
              <w:top w:val="single" w:sz="4" w:space="0" w:color="000000"/>
              <w:bottom w:val="single" w:sz="4" w:space="0" w:color="000000"/>
              <w:right w:val="single" w:sz="4" w:space="0" w:color="000000"/>
            </w:tcBorders>
            <w:shd w:color="auto" w:fill="auto" w:val="clear"/>
            <w:vAlign w:val="center"/>
          </w:tcPr>
          <w:p>
            <w:pPr>
              <w:pStyle w:val="Normal"/>
              <w:widowControl w:val="false"/>
              <w:jc w:val="center"/>
              <w:rPr/>
            </w:pPr>
            <w:r>
              <w:rPr>
                <w:color w:val="000000"/>
                <w:sz w:val="20"/>
                <w:szCs w:val="20"/>
              </w:rPr>
              <w:t>100 %</w:t>
            </w:r>
          </w:p>
        </w:tc>
      </w:tr>
      <w:tr>
        <w:trPr>
          <w:trHeight w:val="564" w:hRule="atLeast"/>
        </w:trPr>
        <w:tc>
          <w:tcPr>
            <w:tcW w:w="200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b/>
                <w:b/>
                <w:sz w:val="20"/>
                <w:szCs w:val="20"/>
              </w:rPr>
            </w:pPr>
            <w:r>
              <w:rPr>
                <w:b/>
                <w:sz w:val="20"/>
                <w:szCs w:val="20"/>
              </w:rPr>
              <w:t>T113904</w:t>
            </w:r>
          </w:p>
          <w:p>
            <w:pPr>
              <w:pStyle w:val="Normal"/>
              <w:widowControl w:val="false"/>
              <w:rPr>
                <w:sz w:val="20"/>
                <w:szCs w:val="20"/>
              </w:rPr>
            </w:pPr>
            <w:r>
              <w:rPr>
                <w:b/>
                <w:sz w:val="20"/>
                <w:szCs w:val="20"/>
              </w:rPr>
              <w:t xml:space="preserve">- </w:t>
            </w:r>
            <w:r>
              <w:rPr>
                <w:sz w:val="20"/>
                <w:szCs w:val="20"/>
              </w:rPr>
              <w:t>provedba školske sheme</w:t>
            </w:r>
          </w:p>
        </w:tc>
        <w:tc>
          <w:tcPr>
            <w:tcW w:w="2126" w:type="dxa"/>
            <w:tcBorders>
              <w:top w:val="single" w:sz="4" w:space="0" w:color="000000"/>
              <w:bottom w:val="single" w:sz="4" w:space="0" w:color="000000"/>
              <w:right w:val="single" w:sz="4" w:space="0" w:color="000000"/>
            </w:tcBorders>
            <w:shd w:color="auto" w:fill="auto" w:val="clear"/>
            <w:vAlign w:val="center"/>
          </w:tcPr>
          <w:p>
            <w:pPr>
              <w:pStyle w:val="Normal"/>
              <w:widowControl w:val="false"/>
              <w:rPr>
                <w:color w:val="000000"/>
                <w:sz w:val="20"/>
                <w:szCs w:val="20"/>
              </w:rPr>
            </w:pPr>
            <w:r>
              <w:rPr>
                <w:color w:val="000000"/>
                <w:sz w:val="20"/>
                <w:szCs w:val="20"/>
              </w:rPr>
              <w:t>Poticanje učenika na konzumaciju voća i mlijeka i mliječnih proizvoda</w:t>
            </w:r>
          </w:p>
        </w:tc>
        <w:tc>
          <w:tcPr>
            <w:tcW w:w="991" w:type="dxa"/>
            <w:tcBorders>
              <w:top w:val="single" w:sz="4" w:space="0" w:color="000000"/>
              <w:bottom w:val="single" w:sz="4" w:space="0" w:color="000000"/>
              <w:right w:val="single" w:sz="4" w:space="0" w:color="000000"/>
            </w:tcBorders>
            <w:shd w:color="auto" w:fill="auto" w:val="clear"/>
            <w:vAlign w:val="center"/>
          </w:tcPr>
          <w:p>
            <w:pPr>
              <w:pStyle w:val="Normal"/>
              <w:widowControl w:val="false"/>
              <w:jc w:val="center"/>
              <w:rPr>
                <w:color w:val="000000"/>
                <w:sz w:val="20"/>
                <w:szCs w:val="20"/>
              </w:rPr>
            </w:pPr>
            <w:r>
              <w:rPr>
                <w:color w:val="000000"/>
                <w:sz w:val="20"/>
                <w:szCs w:val="20"/>
              </w:rPr>
              <w:t>postotak</w:t>
            </w:r>
          </w:p>
        </w:tc>
        <w:tc>
          <w:tcPr>
            <w:tcW w:w="1418"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color w:val="000000"/>
                <w:sz w:val="20"/>
                <w:szCs w:val="20"/>
              </w:rPr>
            </w:pPr>
            <w:r>
              <w:rPr>
                <w:color w:val="000000"/>
                <w:sz w:val="20"/>
                <w:szCs w:val="20"/>
              </w:rPr>
              <w:t>100%</w:t>
            </w:r>
          </w:p>
        </w:tc>
        <w:tc>
          <w:tcPr>
            <w:tcW w:w="1559" w:type="dxa"/>
            <w:tcBorders>
              <w:top w:val="single" w:sz="4" w:space="0" w:color="000000"/>
              <w:bottom w:val="single" w:sz="4" w:space="0" w:color="000000"/>
              <w:right w:val="single" w:sz="4" w:space="0" w:color="000000"/>
            </w:tcBorders>
            <w:shd w:color="auto" w:fill="auto" w:val="clear"/>
            <w:vAlign w:val="center"/>
          </w:tcPr>
          <w:p>
            <w:pPr>
              <w:pStyle w:val="Normal"/>
              <w:widowControl w:val="false"/>
              <w:jc w:val="center"/>
              <w:rPr>
                <w:color w:val="000000"/>
                <w:sz w:val="20"/>
                <w:szCs w:val="20"/>
              </w:rPr>
            </w:pPr>
            <w:r>
              <w:rPr>
                <w:color w:val="000000"/>
                <w:sz w:val="20"/>
                <w:szCs w:val="20"/>
              </w:rPr>
              <w:t>00 %</w:t>
            </w:r>
          </w:p>
        </w:tc>
        <w:tc>
          <w:tcPr>
            <w:tcW w:w="1559" w:type="dxa"/>
            <w:tcBorders>
              <w:top w:val="single" w:sz="4" w:space="0" w:color="000000"/>
              <w:bottom w:val="single" w:sz="4" w:space="0" w:color="000000"/>
              <w:right w:val="single" w:sz="4" w:space="0" w:color="000000"/>
            </w:tcBorders>
            <w:shd w:color="auto" w:fill="auto" w:val="clear"/>
            <w:vAlign w:val="center"/>
          </w:tcPr>
          <w:p>
            <w:pPr>
              <w:pStyle w:val="Normal"/>
              <w:widowControl w:val="false"/>
              <w:jc w:val="center"/>
              <w:rPr>
                <w:color w:val="000000"/>
                <w:sz w:val="20"/>
                <w:szCs w:val="20"/>
              </w:rPr>
            </w:pPr>
            <w:r>
              <w:rPr>
                <w:color w:val="000000"/>
                <w:sz w:val="20"/>
                <w:szCs w:val="20"/>
              </w:rPr>
              <w:t>00 %</w:t>
            </w:r>
          </w:p>
        </w:tc>
      </w:tr>
    </w:tbl>
    <w:p>
      <w:pPr>
        <w:pStyle w:val="ListParagraph"/>
        <w:spacing w:lineRule="auto" w:line="276"/>
        <w:ind w:left="0" w:hanging="0"/>
        <w:jc w:val="both"/>
        <w:rPr>
          <w:bCs/>
        </w:rPr>
      </w:pPr>
      <w:r>
        <w:rPr>
          <w:bCs/>
        </w:rPr>
      </w:r>
    </w:p>
    <w:p>
      <w:pPr>
        <w:pStyle w:val="ListParagraph"/>
        <w:spacing w:lineRule="auto" w:line="276"/>
        <w:ind w:left="0" w:hanging="0"/>
        <w:jc w:val="both"/>
        <w:rPr>
          <w:bCs/>
        </w:rPr>
      </w:pPr>
      <w:r>
        <w:rPr>
          <w:bCs/>
        </w:rPr>
        <w:t>A113901 – manja ostvarena vrijednost zbog situacije izazvane epidemijom i propisanih mjera sigurnosti u drugom polugodištu 2021./2022. godine.</w:t>
      </w:r>
    </w:p>
    <w:p>
      <w:pPr>
        <w:pStyle w:val="ListParagraph"/>
        <w:spacing w:lineRule="auto" w:line="276"/>
        <w:ind w:left="0" w:hanging="0"/>
        <w:jc w:val="both"/>
        <w:rPr>
          <w:bCs/>
        </w:rPr>
      </w:pPr>
      <w:r>
        <w:rPr>
          <w:bCs/>
        </w:rPr>
        <w:t xml:space="preserve">A113913 – prošle godine nabavljeni su udžbenici koji se nisu mijenjali, a koje će koristiti više generacije učenika, te iz tog razloga ove godine nabavljeno ih je manje. </w:t>
      </w:r>
    </w:p>
    <w:p>
      <w:pPr>
        <w:pStyle w:val="ListParagraph"/>
        <w:spacing w:lineRule="auto" w:line="276"/>
        <w:ind w:left="0" w:hanging="0"/>
        <w:jc w:val="both"/>
        <w:rPr>
          <w:bCs/>
        </w:rPr>
      </w:pPr>
      <w:r>
        <w:rPr>
          <w:bCs/>
        </w:rPr>
        <w:t>A113914 – plaće i naknade za zaposlenike su manje u odnosu na plan. Iako je došlo do povećanja plaća ostvarena vrijednost nije prekoračila planiranu zbog većeg planiranja za tužbe.</w:t>
      </w:r>
    </w:p>
    <w:p>
      <w:pPr>
        <w:pStyle w:val="ListParagraph"/>
        <w:spacing w:lineRule="auto" w:line="276"/>
        <w:ind w:left="0" w:hanging="0"/>
        <w:jc w:val="both"/>
        <w:rPr>
          <w:bCs/>
        </w:rPr>
      </w:pPr>
      <w:r>
        <w:rPr>
          <w:bCs/>
        </w:rPr>
        <w:t>K113902 – u 2022. godini ostvareni su puno manji prihodi nego prošle godine zato su i rashodi u skladu sa njima.</w:t>
      </w:r>
    </w:p>
    <w:p>
      <w:pPr>
        <w:pStyle w:val="ListParagraph"/>
        <w:spacing w:lineRule="auto" w:line="276"/>
        <w:ind w:left="0" w:hanging="0"/>
        <w:jc w:val="both"/>
        <w:rPr>
          <w:bCs/>
        </w:rPr>
      </w:pPr>
      <w:r>
        <w:rPr>
          <w:bCs/>
        </w:rPr>
        <w:t>T113910 –iako je veći broj upisane djece u prvi razred ciljana i ostvarena vrijednost je 100% nakon rebalansa.</w:t>
      </w:r>
    </w:p>
    <w:p>
      <w:pPr>
        <w:pStyle w:val="ListParagraph"/>
        <w:spacing w:lineRule="auto" w:line="276"/>
        <w:ind w:left="0" w:hanging="0"/>
        <w:jc w:val="both"/>
        <w:rPr>
          <w:bCs/>
        </w:rPr>
      </w:pPr>
      <w:r>
        <w:rPr>
          <w:bCs/>
        </w:rPr>
        <w:t xml:space="preserve">T113904 –Od </w:t>
      </w:r>
      <w:r>
        <w:rPr>
          <w:color w:val="000000"/>
        </w:rPr>
        <w:t xml:space="preserve"> školske godine 2021/2022 škola nije uključena u program sheme</w:t>
      </w:r>
      <w:r>
        <w:rPr>
          <w:bCs/>
        </w:rPr>
        <w:t>.</w:t>
      </w:r>
    </w:p>
    <w:p>
      <w:pPr>
        <w:pStyle w:val="Xmsonormal"/>
        <w:spacing w:beforeAutospacing="0" w:before="0" w:afterAutospacing="0" w:after="0"/>
        <w:jc w:val="both"/>
        <w:rPr>
          <w:color w:val="000000"/>
          <w:sz w:val="22"/>
          <w:szCs w:val="22"/>
        </w:rPr>
      </w:pPr>
      <w:r>
        <w:rPr>
          <w:sz w:val="22"/>
          <w:szCs w:val="22"/>
        </w:rPr>
        <w:tab/>
      </w:r>
    </w:p>
    <w:p>
      <w:pPr>
        <w:pStyle w:val="NormalWeb"/>
        <w:spacing w:before="280" w:after="280"/>
        <w:ind w:firstLine="708"/>
        <w:jc w:val="both"/>
        <w:rPr>
          <w:bCs/>
          <w:color w:val="000000"/>
          <w:sz w:val="22"/>
          <w:szCs w:val="22"/>
          <w:shd w:fill="FFFFFF" w:val="clear"/>
        </w:rPr>
      </w:pPr>
      <w:r>
        <w:rPr>
          <w:bCs/>
          <w:color w:val="000000"/>
          <w:sz w:val="22"/>
          <w:szCs w:val="22"/>
          <w:shd w:fill="FFFFFF" w:val="clear"/>
        </w:rPr>
        <w:t xml:space="preserve">Nakon dostavljenog dodatnog pojašnjenja na traženje g. Duška Milovanovićai i prebrojenih glasova iskazanih putem elektroničke pošte, utvrđuje se </w:t>
      </w:r>
      <w:r>
        <w:rPr>
          <w:sz w:val="22"/>
          <w:szCs w:val="22"/>
        </w:rPr>
        <w:t>rezultat glasovanja:</w:t>
      </w:r>
    </w:p>
    <w:p>
      <w:pPr>
        <w:pStyle w:val="Normal"/>
        <w:jc w:val="both"/>
        <w:rPr>
          <w:sz w:val="22"/>
          <w:szCs w:val="22"/>
        </w:rPr>
      </w:pPr>
      <w:r>
        <w:rPr>
          <w:sz w:val="22"/>
          <w:szCs w:val="22"/>
        </w:rPr>
      </w:r>
    </w:p>
    <w:p>
      <w:pPr>
        <w:pStyle w:val="Normal"/>
        <w:ind w:firstLine="708"/>
        <w:jc w:val="both"/>
        <w:rPr>
          <w:sz w:val="22"/>
          <w:szCs w:val="22"/>
        </w:rPr>
      </w:pPr>
      <w:r>
        <w:rPr>
          <w:sz w:val="22"/>
          <w:szCs w:val="22"/>
        </w:rPr>
        <w:t>Većinom glasova (6 glasova za: Ana Marinić, Roberta Bonassin, Marin Bogičević, Nadja Mustapić, Ivo Simper, Eugen Podobnik i 1 glas protiv: Duško Milovanović), donosi (6/7) se sljedeća:</w:t>
      </w:r>
    </w:p>
    <w:p>
      <w:pPr>
        <w:pStyle w:val="Normal"/>
        <w:jc w:val="both"/>
        <w:rPr>
          <w:b/>
          <w:b/>
          <w:sz w:val="22"/>
          <w:szCs w:val="22"/>
        </w:rPr>
      </w:pPr>
      <w:r>
        <w:rPr>
          <w:b/>
          <w:sz w:val="22"/>
          <w:szCs w:val="22"/>
        </w:rPr>
      </w:r>
    </w:p>
    <w:p>
      <w:pPr>
        <w:pStyle w:val="Normal"/>
        <w:jc w:val="center"/>
        <w:rPr>
          <w:b/>
          <w:b/>
          <w:sz w:val="22"/>
          <w:szCs w:val="22"/>
        </w:rPr>
      </w:pPr>
      <w:r>
        <w:rPr>
          <w:b/>
          <w:sz w:val="22"/>
          <w:szCs w:val="22"/>
        </w:rPr>
        <w:t>O d l u k a</w:t>
      </w:r>
    </w:p>
    <w:p>
      <w:pPr>
        <w:pStyle w:val="Normal"/>
        <w:jc w:val="center"/>
        <w:rPr>
          <w:sz w:val="22"/>
          <w:szCs w:val="22"/>
        </w:rPr>
      </w:pPr>
      <w:r>
        <w:rPr>
          <w:sz w:val="22"/>
          <w:szCs w:val="22"/>
        </w:rPr>
      </w:r>
    </w:p>
    <w:p>
      <w:pPr>
        <w:pStyle w:val="Normal"/>
        <w:jc w:val="center"/>
        <w:rPr>
          <w:sz w:val="22"/>
          <w:szCs w:val="22"/>
        </w:rPr>
      </w:pPr>
      <w:r>
        <w:rPr>
          <w:sz w:val="22"/>
          <w:szCs w:val="22"/>
        </w:rPr>
        <w:t xml:space="preserve">“ </w:t>
      </w:r>
      <w:r>
        <w:rPr>
          <w:sz w:val="22"/>
          <w:szCs w:val="22"/>
        </w:rPr>
        <w:t>Ostvarenje Financijskog plana za 2022. godinu,  usvaja se.“</w:t>
      </w:r>
    </w:p>
    <w:p>
      <w:pPr>
        <w:pStyle w:val="Normal"/>
        <w:jc w:val="both"/>
        <w:rPr>
          <w:sz w:val="22"/>
          <w:szCs w:val="22"/>
        </w:rPr>
      </w:pPr>
      <w:r>
        <w:rPr>
          <w:sz w:val="22"/>
          <w:szCs w:val="22"/>
        </w:rPr>
      </w:r>
    </w:p>
    <w:p>
      <w:pPr>
        <w:pStyle w:val="Normal"/>
        <w:jc w:val="both"/>
        <w:rPr>
          <w:sz w:val="22"/>
          <w:szCs w:val="22"/>
          <w:u w:val="single"/>
        </w:rPr>
      </w:pPr>
      <w:r>
        <w:rPr>
          <w:sz w:val="22"/>
          <w:szCs w:val="22"/>
          <w:u w:val="single"/>
        </w:rPr>
      </w:r>
    </w:p>
    <w:p>
      <w:pPr>
        <w:pStyle w:val="Normal"/>
        <w:jc w:val="both"/>
        <w:rPr>
          <w:sz w:val="22"/>
          <w:szCs w:val="22"/>
          <w:u w:val="single"/>
        </w:rPr>
      </w:pPr>
      <w:r>
        <w:rPr>
          <w:sz w:val="22"/>
          <w:szCs w:val="22"/>
          <w:u w:val="single"/>
        </w:rPr>
      </w:r>
    </w:p>
    <w:p>
      <w:pPr>
        <w:pStyle w:val="Normal"/>
        <w:jc w:val="both"/>
        <w:rPr>
          <w:sz w:val="22"/>
          <w:szCs w:val="22"/>
        </w:rPr>
      </w:pPr>
      <w:r>
        <w:rPr>
          <w:sz w:val="22"/>
          <w:szCs w:val="22"/>
          <w:u w:val="single"/>
        </w:rPr>
        <w:t xml:space="preserve">AD.4. </w:t>
      </w:r>
      <w:r>
        <w:rPr>
          <w:sz w:val="22"/>
          <w:szCs w:val="22"/>
        </w:rPr>
        <w:tab/>
        <w:tab/>
        <w:t>Točke razno nije bilo radi održavanja sjednice u elektronskom obliku.</w:t>
      </w:r>
    </w:p>
    <w:p>
      <w:pPr>
        <w:pStyle w:val="Normal"/>
        <w:jc w:val="both"/>
        <w:rPr>
          <w:sz w:val="22"/>
          <w:szCs w:val="22"/>
        </w:rPr>
      </w:pPr>
      <w:r>
        <w:rPr>
          <w:sz w:val="22"/>
          <w:szCs w:val="22"/>
        </w:rPr>
      </w:r>
    </w:p>
    <w:p>
      <w:pPr>
        <w:pStyle w:val="Normal"/>
        <w:jc w:val="both"/>
        <w:rPr>
          <w:sz w:val="22"/>
          <w:szCs w:val="22"/>
        </w:rPr>
      </w:pPr>
      <w:r>
        <w:rPr>
          <w:sz w:val="22"/>
          <w:szCs w:val="22"/>
        </w:rPr>
      </w:r>
    </w:p>
    <w:p>
      <w:pPr>
        <w:pStyle w:val="Normal"/>
        <w:ind w:firstLine="708"/>
        <w:jc w:val="both"/>
        <w:rPr>
          <w:sz w:val="22"/>
          <w:szCs w:val="22"/>
        </w:rPr>
      </w:pPr>
      <w:r>
        <w:rPr>
          <w:sz w:val="22"/>
          <w:szCs w:val="22"/>
        </w:rPr>
        <w:t>Zapisnik je napisan u jednom primjerku na jedanaest stranica.</w:t>
      </w:r>
    </w:p>
    <w:p>
      <w:pPr>
        <w:pStyle w:val="Normal"/>
        <w:ind w:firstLine="708"/>
        <w:jc w:val="both"/>
        <w:rPr>
          <w:sz w:val="22"/>
          <w:szCs w:val="22"/>
        </w:rPr>
      </w:pPr>
      <w:r>
        <w:rPr>
          <w:sz w:val="22"/>
          <w:szCs w:val="22"/>
        </w:rPr>
      </w:r>
    </w:p>
    <w:p>
      <w:pPr>
        <w:pStyle w:val="Normal"/>
        <w:ind w:firstLine="708"/>
        <w:jc w:val="both"/>
        <w:rPr>
          <w:sz w:val="22"/>
          <w:szCs w:val="22"/>
        </w:rPr>
      </w:pPr>
      <w:r>
        <w:rPr>
          <w:sz w:val="22"/>
          <w:szCs w:val="22"/>
        </w:rPr>
      </w:r>
    </w:p>
    <w:p>
      <w:pPr>
        <w:pStyle w:val="Normal"/>
        <w:ind w:firstLine="708"/>
        <w:jc w:val="both"/>
        <w:rPr>
          <w:sz w:val="22"/>
          <w:szCs w:val="22"/>
        </w:rPr>
      </w:pPr>
      <w:r>
        <w:rPr>
          <w:sz w:val="22"/>
          <w:szCs w:val="22"/>
        </w:rPr>
        <w:t>Zapisničar:</w:t>
        <w:tab/>
        <w:tab/>
        <w:tab/>
        <w:tab/>
        <w:tab/>
        <w:tab/>
        <w:tab/>
        <w:t>Predsjednica:</w:t>
      </w:r>
    </w:p>
    <w:p>
      <w:pPr>
        <w:pStyle w:val="Normal"/>
        <w:jc w:val="both"/>
        <w:rPr>
          <w:sz w:val="22"/>
          <w:szCs w:val="22"/>
          <w:u w:val="single"/>
        </w:rPr>
      </w:pPr>
      <w:r>
        <w:rPr>
          <w:sz w:val="22"/>
          <w:szCs w:val="22"/>
          <w:u w:val="single"/>
        </w:rPr>
        <w:tab/>
        <w:tab/>
        <w:tab/>
        <w:tab/>
      </w:r>
      <w:r>
        <w:rPr>
          <w:sz w:val="22"/>
          <w:szCs w:val="22"/>
        </w:rPr>
        <w:tab/>
        <w:tab/>
        <w:tab/>
        <w:tab/>
      </w:r>
      <w:r>
        <w:rPr>
          <w:sz w:val="22"/>
          <w:szCs w:val="22"/>
          <w:u w:val="single"/>
        </w:rPr>
        <w:tab/>
        <w:tab/>
        <w:tab/>
        <w:tab/>
      </w:r>
    </w:p>
    <w:p>
      <w:pPr>
        <w:pStyle w:val="Normal"/>
        <w:rPr>
          <w:sz w:val="22"/>
          <w:szCs w:val="22"/>
        </w:rPr>
      </w:pPr>
      <w:r>
        <w:rPr>
          <w:sz w:val="22"/>
          <w:szCs w:val="22"/>
        </w:rPr>
        <w:t xml:space="preserve">          </w:t>
      </w:r>
      <w:r>
        <w:rPr>
          <w:sz w:val="22"/>
          <w:szCs w:val="22"/>
        </w:rPr>
        <w:t xml:space="preserve">Marin Bogičević </w:t>
        <w:tab/>
        <w:tab/>
        <w:tab/>
        <w:tab/>
        <w:tab/>
        <w:t xml:space="preserve">         </w:t>
        <w:tab/>
        <w:tab/>
        <w:t>Ana Marinić</w:t>
      </w:r>
    </w:p>
    <w:sectPr>
      <w:type w:val="nextPage"/>
      <w:pgSz w:w="11906" w:h="16838"/>
      <w:pgMar w:left="1417" w:right="1417" w:header="0" w:top="1417" w:footer="0" w:bottom="1417" w:gutter="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ee"/>
    <w:family w:val="roman"/>
    <w:pitch w:val="variable"/>
  </w:font>
  <w:font w:name="Calibri">
    <w:charset w:val="ee"/>
    <w:family w:val="roman"/>
    <w:pitch w:val="variable"/>
  </w:font>
  <w:font w:name="Times New Roman">
    <w:charset w:val="ee"/>
    <w:family w:val="roman"/>
    <w:pitch w:val="variable"/>
  </w:font>
  <w:font w:name="Calibri Light">
    <w:charset w:val="ee"/>
    <w:family w:val="roman"/>
    <w:pitch w:val="variable"/>
  </w:font>
  <w:font w:name="Cambria">
    <w:charset w:val="ee"/>
    <w:family w:val="roman"/>
    <w:pitch w:val="variable"/>
  </w:font>
  <w:font w:name="Charter HR">
    <w:charset w:val="ee"/>
    <w:family w:val="roman"/>
    <w:pitch w:val="variable"/>
  </w:font>
  <w:font w:name="Segoe UI">
    <w:charset w:val="ee"/>
    <w:family w:val="roman"/>
    <w:pitch w:val="variable"/>
  </w:font>
  <w:font w:name="Arial">
    <w:charset w:val="ee"/>
    <w:family w:val="roman"/>
    <w:pitch w:val="variable"/>
  </w:font>
  <w:font w:name="Liberation Sans">
    <w:altName w:val="Arial"/>
    <w:charset w:val="ee"/>
    <w:family w:val="swiss"/>
    <w:pitch w:val="variable"/>
  </w:font>
  <w:font w:name="Courier New">
    <w:charset w:val="01"/>
    <w:family w:val="modern"/>
    <w:pitch w:val="fixed"/>
  </w:font>
  <w:font w:name="Wingdings">
    <w:charset w:val="02"/>
    <w:family w:val="auto"/>
    <w:pitch w:val="variable"/>
  </w:font>
  <w:font w:name="Times New Roman">
    <w:charset w:val="01"/>
    <w:family w:val="roman"/>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0"/>
        </w:tabs>
        <w:ind w:left="720" w:hanging="360"/>
      </w:pPr>
      <w:rPr>
        <w:b w:val="false"/>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
    <w:lvl w:ilvl="0">
      <w:numFmt w:val="bullet"/>
      <w:lvlText w:val="-"/>
      <w:lvlJc w:val="left"/>
      <w:pPr>
        <w:tabs>
          <w:tab w:val="num" w:pos="0"/>
        </w:tabs>
        <w:ind w:left="1080" w:hanging="360"/>
      </w:pPr>
      <w:rPr>
        <w:rFonts w:ascii="Times New Roman" w:hAnsi="Times New Roman" w:cs="Times New Roman" w:hint="default"/>
      </w:rPr>
    </w:lvl>
    <w:lvl w:ilvl="1">
      <w:start w:val="1"/>
      <w:numFmt w:val="bullet"/>
      <w:lvlText w:val="o"/>
      <w:lvlJc w:val="left"/>
      <w:pPr>
        <w:tabs>
          <w:tab w:val="num" w:pos="0"/>
        </w:tabs>
        <w:ind w:left="1800" w:hanging="360"/>
      </w:pPr>
      <w:rPr>
        <w:rFonts w:ascii="Courier New" w:hAnsi="Courier New" w:cs="Courier New" w:hint="default"/>
      </w:rPr>
    </w:lvl>
    <w:lvl w:ilvl="2">
      <w:start w:val="1"/>
      <w:numFmt w:val="bullet"/>
      <w:lvlText w:val=""/>
      <w:lvlJc w:val="left"/>
      <w:pPr>
        <w:tabs>
          <w:tab w:val="num" w:pos="0"/>
        </w:tabs>
        <w:ind w:left="2520" w:hanging="360"/>
      </w:pPr>
      <w:rPr>
        <w:rFonts w:ascii="Wingdings" w:hAnsi="Wingdings" w:cs="Wingdings" w:hint="default"/>
      </w:rPr>
    </w:lvl>
    <w:lvl w:ilvl="3">
      <w:start w:val="1"/>
      <w:numFmt w:val="bullet"/>
      <w:lvlText w:val=""/>
      <w:lvlJc w:val="left"/>
      <w:pPr>
        <w:tabs>
          <w:tab w:val="num" w:pos="0"/>
        </w:tabs>
        <w:ind w:left="3240" w:hanging="360"/>
      </w:pPr>
      <w:rPr>
        <w:rFonts w:ascii="Symbol" w:hAnsi="Symbol" w:cs="Symbol" w:hint="default"/>
      </w:rPr>
    </w:lvl>
    <w:lvl w:ilvl="4">
      <w:start w:val="1"/>
      <w:numFmt w:val="bullet"/>
      <w:lvlText w:val="o"/>
      <w:lvlJc w:val="left"/>
      <w:pPr>
        <w:tabs>
          <w:tab w:val="num" w:pos="0"/>
        </w:tabs>
        <w:ind w:left="3960" w:hanging="360"/>
      </w:pPr>
      <w:rPr>
        <w:rFonts w:ascii="Courier New" w:hAnsi="Courier New" w:cs="Courier New" w:hint="default"/>
      </w:rPr>
    </w:lvl>
    <w:lvl w:ilvl="5">
      <w:start w:val="1"/>
      <w:numFmt w:val="bullet"/>
      <w:lvlText w:val=""/>
      <w:lvlJc w:val="left"/>
      <w:pPr>
        <w:tabs>
          <w:tab w:val="num" w:pos="0"/>
        </w:tabs>
        <w:ind w:left="4680" w:hanging="360"/>
      </w:pPr>
      <w:rPr>
        <w:rFonts w:ascii="Wingdings" w:hAnsi="Wingdings" w:cs="Wingdings" w:hint="default"/>
      </w:rPr>
    </w:lvl>
    <w:lvl w:ilvl="6">
      <w:start w:val="1"/>
      <w:numFmt w:val="bullet"/>
      <w:lvlText w:val=""/>
      <w:lvlJc w:val="left"/>
      <w:pPr>
        <w:tabs>
          <w:tab w:val="num" w:pos="0"/>
        </w:tabs>
        <w:ind w:left="5400" w:hanging="360"/>
      </w:pPr>
      <w:rPr>
        <w:rFonts w:ascii="Symbol" w:hAnsi="Symbol" w:cs="Symbol" w:hint="default"/>
      </w:rPr>
    </w:lvl>
    <w:lvl w:ilvl="7">
      <w:start w:val="1"/>
      <w:numFmt w:val="bullet"/>
      <w:lvlText w:val="o"/>
      <w:lvlJc w:val="left"/>
      <w:pPr>
        <w:tabs>
          <w:tab w:val="num" w:pos="0"/>
        </w:tabs>
        <w:ind w:left="6120" w:hanging="360"/>
      </w:pPr>
      <w:rPr>
        <w:rFonts w:ascii="Courier New" w:hAnsi="Courier New" w:cs="Courier New" w:hint="default"/>
      </w:rPr>
    </w:lvl>
    <w:lvl w:ilvl="8">
      <w:start w:val="1"/>
      <w:numFmt w:val="bullet"/>
      <w:lvlText w:val=""/>
      <w:lvlJc w:val="left"/>
      <w:pPr>
        <w:tabs>
          <w:tab w:val="num" w:pos="0"/>
        </w:tabs>
        <w:ind w:left="6840" w:hanging="360"/>
      </w:pPr>
      <w:rPr>
        <w:rFonts w:ascii="Wingdings" w:hAnsi="Wingdings" w:cs="Wingdings" w:hint="default"/>
      </w:rPr>
    </w:lvl>
  </w:abstractNum>
  <w:abstractNum w:abstractNumId="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6">
    <w:lvl w:ilvl="0">
      <w:numFmt w:val="bullet"/>
      <w:lvlText w:val="-"/>
      <w:lvlJc w:val="left"/>
      <w:pPr>
        <w:tabs>
          <w:tab w:val="num" w:pos="0"/>
        </w:tabs>
        <w:ind w:left="3196" w:hanging="360"/>
      </w:pPr>
      <w:rPr>
        <w:rFonts w:ascii="Times New Roman" w:hAnsi="Times New Roman" w:cs="Times New Roman" w:hint="default"/>
      </w:rPr>
    </w:lvl>
    <w:lvl w:ilvl="1">
      <w:start w:val="1"/>
      <w:numFmt w:val="bullet"/>
      <w:lvlText w:val="o"/>
      <w:lvlJc w:val="left"/>
      <w:pPr>
        <w:tabs>
          <w:tab w:val="num" w:pos="0"/>
        </w:tabs>
        <w:ind w:left="2520" w:hanging="360"/>
      </w:pPr>
      <w:rPr>
        <w:rFonts w:ascii="Courier New" w:hAnsi="Courier New" w:cs="Courier New" w:hint="default"/>
      </w:rPr>
    </w:lvl>
    <w:lvl w:ilvl="2">
      <w:start w:val="1"/>
      <w:numFmt w:val="bullet"/>
      <w:lvlText w:val=""/>
      <w:lvlJc w:val="left"/>
      <w:pPr>
        <w:tabs>
          <w:tab w:val="num" w:pos="0"/>
        </w:tabs>
        <w:ind w:left="3240" w:hanging="360"/>
      </w:pPr>
      <w:rPr>
        <w:rFonts w:ascii="Wingdings" w:hAnsi="Wingdings" w:cs="Wingdings" w:hint="default"/>
      </w:rPr>
    </w:lvl>
    <w:lvl w:ilvl="3">
      <w:start w:val="1"/>
      <w:numFmt w:val="bullet"/>
      <w:lvlText w:val=""/>
      <w:lvlJc w:val="left"/>
      <w:pPr>
        <w:tabs>
          <w:tab w:val="num" w:pos="0"/>
        </w:tabs>
        <w:ind w:left="3960" w:hanging="360"/>
      </w:pPr>
      <w:rPr>
        <w:rFonts w:ascii="Symbol" w:hAnsi="Symbol" w:cs="Symbol" w:hint="default"/>
      </w:rPr>
    </w:lvl>
    <w:lvl w:ilvl="4">
      <w:start w:val="1"/>
      <w:numFmt w:val="bullet"/>
      <w:lvlText w:val="o"/>
      <w:lvlJc w:val="left"/>
      <w:pPr>
        <w:tabs>
          <w:tab w:val="num" w:pos="0"/>
        </w:tabs>
        <w:ind w:left="4680" w:hanging="360"/>
      </w:pPr>
      <w:rPr>
        <w:rFonts w:ascii="Courier New" w:hAnsi="Courier New" w:cs="Courier New" w:hint="default"/>
      </w:rPr>
    </w:lvl>
    <w:lvl w:ilvl="5">
      <w:start w:val="1"/>
      <w:numFmt w:val="bullet"/>
      <w:lvlText w:val=""/>
      <w:lvlJc w:val="left"/>
      <w:pPr>
        <w:tabs>
          <w:tab w:val="num" w:pos="0"/>
        </w:tabs>
        <w:ind w:left="5400" w:hanging="360"/>
      </w:pPr>
      <w:rPr>
        <w:rFonts w:ascii="Wingdings" w:hAnsi="Wingdings" w:cs="Wingdings" w:hint="default"/>
      </w:rPr>
    </w:lvl>
    <w:lvl w:ilvl="6">
      <w:start w:val="1"/>
      <w:numFmt w:val="bullet"/>
      <w:lvlText w:val=""/>
      <w:lvlJc w:val="left"/>
      <w:pPr>
        <w:tabs>
          <w:tab w:val="num" w:pos="0"/>
        </w:tabs>
        <w:ind w:left="6120" w:hanging="360"/>
      </w:pPr>
      <w:rPr>
        <w:rFonts w:ascii="Symbol" w:hAnsi="Symbol" w:cs="Symbol" w:hint="default"/>
      </w:rPr>
    </w:lvl>
    <w:lvl w:ilvl="7">
      <w:start w:val="1"/>
      <w:numFmt w:val="bullet"/>
      <w:lvlText w:val="o"/>
      <w:lvlJc w:val="left"/>
      <w:pPr>
        <w:tabs>
          <w:tab w:val="num" w:pos="0"/>
        </w:tabs>
        <w:ind w:left="6840" w:hanging="360"/>
      </w:pPr>
      <w:rPr>
        <w:rFonts w:ascii="Courier New" w:hAnsi="Courier New" w:cs="Courier New" w:hint="default"/>
      </w:rPr>
    </w:lvl>
    <w:lvl w:ilvl="8">
      <w:start w:val="1"/>
      <w:numFmt w:val="bullet"/>
      <w:lvlText w:val=""/>
      <w:lvlJc w:val="left"/>
      <w:pPr>
        <w:tabs>
          <w:tab w:val="num" w:pos="0"/>
        </w:tabs>
        <w:ind w:left="7560" w:hanging="360"/>
      </w:pPr>
      <w:rPr>
        <w:rFonts w:ascii="Wingdings" w:hAnsi="Wingdings" w:cs="Wingdings" w:hint="default"/>
      </w:rPr>
    </w:lvl>
  </w:abstractNum>
  <w:abstractNum w:abstractNumId="7">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w="http://schemas.openxmlformats.org/wordprocessingml/2006/main">
  <w:zoom w:percent="100"/>
  <w:defaultTabStop w:val="708"/>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hyphenationZone w:val="425"/>
  <w:themeFontLang w:val="hr-HR"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hr-HR" w:eastAsia="en-US" w:bidi="ar-SA"/>
      </w:rPr>
    </w:rPrDefault>
    <w:pPrDefault>
      <w:pPr>
        <w:suppressAutoHyphens w:val="true"/>
      </w:pPr>
    </w:pPrDefault>
  </w:docDefaults>
  <w:latentStyles w:defLockedState="0" w:defUIPriority="99" w:defSemiHidden="0" w:defUnhideWhenUsed="0" w:defQFormat="0" w:count="375">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uiPriority="0"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styleId="Normal" w:default="1">
    <w:name w:val="Normal"/>
    <w:qFormat/>
    <w:rsid w:val="007b1b2d"/>
    <w:pPr>
      <w:widowControl/>
      <w:bidi w:val="0"/>
      <w:spacing w:lineRule="auto" w:line="240" w:before="0" w:after="0"/>
      <w:jc w:val="left"/>
    </w:pPr>
    <w:rPr>
      <w:rFonts w:ascii="Times New Roman" w:hAnsi="Times New Roman" w:eastAsia="Times New Roman" w:cs="Times New Roman"/>
      <w:color w:val="auto"/>
      <w:kern w:val="0"/>
      <w:sz w:val="24"/>
      <w:szCs w:val="24"/>
      <w:lang w:eastAsia="hr-HR" w:val="hr-HR" w:bidi="ar-SA"/>
    </w:rPr>
  </w:style>
  <w:style w:type="paragraph" w:styleId="Stilnaslova1">
    <w:name w:val="Heading 1"/>
    <w:basedOn w:val="Normal"/>
    <w:next w:val="Normal"/>
    <w:link w:val="Heading1Char"/>
    <w:qFormat/>
    <w:rsid w:val="00b469e4"/>
    <w:pPr>
      <w:keepNext w:val="true"/>
      <w:keepLines/>
      <w:spacing w:before="240" w:after="0"/>
      <w:outlineLvl w:val="0"/>
    </w:pPr>
    <w:rPr>
      <w:rFonts w:ascii="Calibri Light" w:hAnsi="Calibri Light" w:eastAsia="" w:cs="" w:asciiTheme="majorHAnsi" w:cstheme="majorBidi" w:eastAsiaTheme="majorEastAsia" w:hAnsiTheme="majorHAnsi"/>
      <w:color w:val="2E74B5" w:themeColor="accent1" w:themeShade="bf"/>
      <w:sz w:val="32"/>
      <w:szCs w:val="32"/>
    </w:rPr>
  </w:style>
  <w:style w:type="paragraph" w:styleId="Stilnaslova2">
    <w:name w:val="Heading 2"/>
    <w:basedOn w:val="Normal"/>
    <w:next w:val="Normal"/>
    <w:link w:val="Heading2Char"/>
    <w:uiPriority w:val="9"/>
    <w:unhideWhenUsed/>
    <w:qFormat/>
    <w:rsid w:val="0062297a"/>
    <w:pPr>
      <w:keepNext w:val="true"/>
      <w:keepLines/>
      <w:spacing w:before="40" w:after="0"/>
      <w:outlineLvl w:val="1"/>
    </w:pPr>
    <w:rPr>
      <w:rFonts w:ascii="Calibri Light" w:hAnsi="Calibri Light" w:eastAsia="" w:cs="" w:asciiTheme="majorHAnsi" w:cstheme="majorBidi" w:eastAsiaTheme="majorEastAsia" w:hAnsiTheme="majorHAnsi"/>
      <w:color w:val="2E74B5" w:themeColor="accent1" w:themeShade="bf"/>
      <w:sz w:val="26"/>
      <w:szCs w:val="26"/>
    </w:rPr>
  </w:style>
  <w:style w:type="paragraph" w:styleId="Stilnaslova3">
    <w:name w:val="Heading 3"/>
    <w:basedOn w:val="Normal"/>
    <w:next w:val="Normal"/>
    <w:link w:val="Heading3Char"/>
    <w:uiPriority w:val="9"/>
    <w:semiHidden/>
    <w:unhideWhenUsed/>
    <w:qFormat/>
    <w:rsid w:val="00277167"/>
    <w:pPr>
      <w:keepNext w:val="true"/>
      <w:keepLines/>
      <w:spacing w:before="160" w:after="0"/>
      <w:outlineLvl w:val="2"/>
    </w:pPr>
    <w:rPr>
      <w:rFonts w:ascii="Cambria" w:hAnsi="Cambria"/>
      <w:sz w:val="32"/>
      <w:szCs w:val="32"/>
      <w:lang w:eastAsia="en-US"/>
    </w:rPr>
  </w:style>
  <w:style w:type="paragraph" w:styleId="Stilnaslova4">
    <w:name w:val="Heading 4"/>
    <w:basedOn w:val="Normal"/>
    <w:next w:val="Normal"/>
    <w:link w:val="Heading4Char"/>
    <w:uiPriority w:val="9"/>
    <w:semiHidden/>
    <w:unhideWhenUsed/>
    <w:qFormat/>
    <w:rsid w:val="00277167"/>
    <w:pPr>
      <w:keepNext w:val="true"/>
      <w:keepLines/>
      <w:spacing w:lineRule="auto" w:line="300" w:before="80" w:after="0"/>
      <w:outlineLvl w:val="3"/>
    </w:pPr>
    <w:rPr>
      <w:rFonts w:ascii="Cambria" w:hAnsi="Cambria"/>
      <w:i/>
      <w:iCs/>
      <w:sz w:val="30"/>
      <w:szCs w:val="30"/>
      <w:lang w:eastAsia="en-US"/>
    </w:rPr>
  </w:style>
  <w:style w:type="paragraph" w:styleId="Stilnaslova5">
    <w:name w:val="Heading 5"/>
    <w:basedOn w:val="Normal"/>
    <w:next w:val="Normal"/>
    <w:link w:val="Heading5Char"/>
    <w:uiPriority w:val="9"/>
    <w:semiHidden/>
    <w:unhideWhenUsed/>
    <w:qFormat/>
    <w:rsid w:val="00277167"/>
    <w:pPr>
      <w:keepNext w:val="true"/>
      <w:keepLines/>
      <w:spacing w:lineRule="auto" w:line="300" w:before="40" w:after="0"/>
      <w:outlineLvl w:val="4"/>
    </w:pPr>
    <w:rPr>
      <w:rFonts w:ascii="Cambria" w:hAnsi="Cambria"/>
      <w:sz w:val="28"/>
      <w:szCs w:val="28"/>
      <w:lang w:eastAsia="en-US"/>
    </w:rPr>
  </w:style>
  <w:style w:type="paragraph" w:styleId="Stilnaslova6">
    <w:name w:val="Heading 6"/>
    <w:basedOn w:val="Normal"/>
    <w:next w:val="Normal"/>
    <w:link w:val="Heading6Char"/>
    <w:uiPriority w:val="9"/>
    <w:qFormat/>
    <w:rsid w:val="0012382a"/>
    <w:pPr>
      <w:keepNext w:val="true"/>
      <w:widowControl w:val="false"/>
      <w:jc w:val="both"/>
      <w:outlineLvl w:val="5"/>
    </w:pPr>
    <w:rPr>
      <w:b/>
      <w:bCs/>
      <w:szCs w:val="20"/>
      <w:lang w:val="de-DE"/>
    </w:rPr>
  </w:style>
  <w:style w:type="paragraph" w:styleId="Stilnaslova7">
    <w:name w:val="Heading 7"/>
    <w:basedOn w:val="Normal"/>
    <w:next w:val="Normal"/>
    <w:link w:val="Heading7Char"/>
    <w:uiPriority w:val="9"/>
    <w:semiHidden/>
    <w:unhideWhenUsed/>
    <w:qFormat/>
    <w:rsid w:val="00277167"/>
    <w:pPr>
      <w:keepNext w:val="true"/>
      <w:keepLines/>
      <w:spacing w:lineRule="auto" w:line="300" w:before="40" w:after="0"/>
      <w:outlineLvl w:val="6"/>
    </w:pPr>
    <w:rPr>
      <w:rFonts w:ascii="Cambria" w:hAnsi="Cambria"/>
      <w:lang w:eastAsia="en-US"/>
    </w:rPr>
  </w:style>
  <w:style w:type="paragraph" w:styleId="Stilnaslova8">
    <w:name w:val="Heading 8"/>
    <w:basedOn w:val="Normal"/>
    <w:next w:val="Normal"/>
    <w:link w:val="Heading8Char"/>
    <w:uiPriority w:val="9"/>
    <w:semiHidden/>
    <w:unhideWhenUsed/>
    <w:qFormat/>
    <w:rsid w:val="00277167"/>
    <w:pPr>
      <w:keepNext w:val="true"/>
      <w:keepLines/>
      <w:spacing w:lineRule="auto" w:line="300" w:before="40" w:after="0"/>
      <w:outlineLvl w:val="7"/>
    </w:pPr>
    <w:rPr>
      <w:rFonts w:ascii="Cambria" w:hAnsi="Cambria"/>
      <w:i/>
      <w:iCs/>
      <w:sz w:val="22"/>
      <w:szCs w:val="22"/>
      <w:lang w:eastAsia="en-US"/>
    </w:rPr>
  </w:style>
  <w:style w:type="paragraph" w:styleId="Stilnaslova9">
    <w:name w:val="Heading 9"/>
    <w:basedOn w:val="Normal"/>
    <w:next w:val="Normal"/>
    <w:link w:val="Heading9Char"/>
    <w:uiPriority w:val="9"/>
    <w:semiHidden/>
    <w:unhideWhenUsed/>
    <w:qFormat/>
    <w:rsid w:val="00277167"/>
    <w:pPr>
      <w:keepNext w:val="true"/>
      <w:keepLines/>
      <w:spacing w:lineRule="auto" w:line="300" w:before="40" w:after="0"/>
      <w:outlineLvl w:val="8"/>
    </w:pPr>
    <w:rPr>
      <w:rFonts w:ascii="Calibri" w:hAnsi="Calibri"/>
      <w:b/>
      <w:bCs/>
      <w:i/>
      <w:iCs/>
      <w:sz w:val="21"/>
      <w:szCs w:val="21"/>
      <w:lang w:eastAsia="en-US"/>
    </w:rPr>
  </w:style>
  <w:style w:type="character" w:styleId="DefaultParagraphFont" w:default="1">
    <w:name w:val="Default Paragraph Font"/>
    <w:uiPriority w:val="1"/>
    <w:semiHidden/>
    <w:unhideWhenUsed/>
    <w:qFormat/>
    <w:rPr/>
  </w:style>
  <w:style w:type="character" w:styleId="BodyTextIndentChar" w:customStyle="1">
    <w:name w:val="Body Text Indent Char"/>
    <w:basedOn w:val="DefaultParagraphFont"/>
    <w:link w:val="BodyTextIndent"/>
    <w:uiPriority w:val="99"/>
    <w:qFormat/>
    <w:rsid w:val="007810d9"/>
    <w:rPr>
      <w:rFonts w:ascii="Charter HR" w:hAnsi="Charter HR" w:eastAsia="Times New Roman" w:cs="Times New Roman"/>
      <w:sz w:val="20"/>
      <w:szCs w:val="20"/>
      <w:lang w:val="en-US" w:eastAsia="hr-HR"/>
    </w:rPr>
  </w:style>
  <w:style w:type="character" w:styleId="Heading6Char" w:customStyle="1">
    <w:name w:val="Heading 6 Char"/>
    <w:basedOn w:val="DefaultParagraphFont"/>
    <w:link w:val="Heading6"/>
    <w:uiPriority w:val="9"/>
    <w:qFormat/>
    <w:rsid w:val="0012382a"/>
    <w:rPr>
      <w:rFonts w:ascii="Times New Roman" w:hAnsi="Times New Roman" w:eastAsia="Times New Roman" w:cs="Times New Roman"/>
      <w:b/>
      <w:bCs/>
      <w:sz w:val="24"/>
      <w:szCs w:val="20"/>
      <w:lang w:val="de-DE" w:eastAsia="hr-HR"/>
    </w:rPr>
  </w:style>
  <w:style w:type="character" w:styleId="BalloonTextChar" w:customStyle="1">
    <w:name w:val="Balloon Text Char"/>
    <w:basedOn w:val="DefaultParagraphFont"/>
    <w:link w:val="BalloonText"/>
    <w:uiPriority w:val="99"/>
    <w:semiHidden/>
    <w:qFormat/>
    <w:rsid w:val="00e573c9"/>
    <w:rPr>
      <w:rFonts w:ascii="Segoe UI" w:hAnsi="Segoe UI" w:eastAsia="Times New Roman" w:cs="Segoe UI"/>
      <w:sz w:val="18"/>
      <w:szCs w:val="18"/>
      <w:lang w:eastAsia="hr-HR"/>
    </w:rPr>
  </w:style>
  <w:style w:type="character" w:styleId="Heading1Char" w:customStyle="1">
    <w:name w:val="Heading 1 Char"/>
    <w:basedOn w:val="DefaultParagraphFont"/>
    <w:link w:val="Heading1"/>
    <w:qFormat/>
    <w:rsid w:val="00b469e4"/>
    <w:rPr>
      <w:rFonts w:ascii="Calibri Light" w:hAnsi="Calibri Light" w:eastAsia="" w:cs="" w:asciiTheme="majorHAnsi" w:cstheme="majorBidi" w:eastAsiaTheme="majorEastAsia" w:hAnsiTheme="majorHAnsi"/>
      <w:color w:val="2E74B5" w:themeColor="accent1" w:themeShade="bf"/>
      <w:sz w:val="32"/>
      <w:szCs w:val="32"/>
      <w:lang w:eastAsia="hr-HR"/>
    </w:rPr>
  </w:style>
  <w:style w:type="character" w:styleId="BodyTextChar" w:customStyle="1">
    <w:name w:val="Body Text Char"/>
    <w:basedOn w:val="DefaultParagraphFont"/>
    <w:link w:val="BodyText"/>
    <w:qFormat/>
    <w:rsid w:val="000b0f57"/>
    <w:rPr>
      <w:rFonts w:ascii="Arial" w:hAnsi="Arial" w:eastAsia="Times New Roman" w:cs="Times New Roman"/>
      <w:szCs w:val="20"/>
      <w:lang w:eastAsia="hr-HR"/>
    </w:rPr>
  </w:style>
  <w:style w:type="character" w:styleId="Isticanje">
    <w:name w:val="Isticanje"/>
    <w:uiPriority w:val="20"/>
    <w:qFormat/>
    <w:rsid w:val="000b0f57"/>
    <w:rPr>
      <w:i/>
      <w:iCs/>
    </w:rPr>
  </w:style>
  <w:style w:type="character" w:styleId="Heading2Char" w:customStyle="1">
    <w:name w:val="Heading 2 Char"/>
    <w:basedOn w:val="DefaultParagraphFont"/>
    <w:link w:val="Heading2"/>
    <w:uiPriority w:val="9"/>
    <w:qFormat/>
    <w:rsid w:val="0062297a"/>
    <w:rPr>
      <w:rFonts w:ascii="Calibri Light" w:hAnsi="Calibri Light" w:eastAsia="" w:cs="" w:asciiTheme="majorHAnsi" w:cstheme="majorBidi" w:eastAsiaTheme="majorEastAsia" w:hAnsiTheme="majorHAnsi"/>
      <w:color w:val="2E74B5" w:themeColor="accent1" w:themeShade="bf"/>
      <w:sz w:val="26"/>
      <w:szCs w:val="26"/>
      <w:lang w:eastAsia="hr-HR"/>
    </w:rPr>
  </w:style>
  <w:style w:type="character" w:styleId="Heading3Char" w:customStyle="1">
    <w:name w:val="Heading 3 Char"/>
    <w:basedOn w:val="DefaultParagraphFont"/>
    <w:link w:val="Heading3"/>
    <w:uiPriority w:val="9"/>
    <w:semiHidden/>
    <w:qFormat/>
    <w:rsid w:val="00277167"/>
    <w:rPr>
      <w:rFonts w:ascii="Cambria" w:hAnsi="Cambria" w:eastAsia="Times New Roman" w:cs="Times New Roman"/>
      <w:sz w:val="32"/>
      <w:szCs w:val="32"/>
    </w:rPr>
  </w:style>
  <w:style w:type="character" w:styleId="Heading4Char" w:customStyle="1">
    <w:name w:val="Heading 4 Char"/>
    <w:basedOn w:val="DefaultParagraphFont"/>
    <w:link w:val="Heading4"/>
    <w:uiPriority w:val="9"/>
    <w:semiHidden/>
    <w:qFormat/>
    <w:rsid w:val="00277167"/>
    <w:rPr>
      <w:rFonts w:ascii="Cambria" w:hAnsi="Cambria" w:eastAsia="Times New Roman" w:cs="Times New Roman"/>
      <w:i/>
      <w:iCs/>
      <w:sz w:val="30"/>
      <w:szCs w:val="30"/>
    </w:rPr>
  </w:style>
  <w:style w:type="character" w:styleId="Heading5Char" w:customStyle="1">
    <w:name w:val="Heading 5 Char"/>
    <w:basedOn w:val="DefaultParagraphFont"/>
    <w:link w:val="Heading5"/>
    <w:uiPriority w:val="9"/>
    <w:semiHidden/>
    <w:qFormat/>
    <w:rsid w:val="00277167"/>
    <w:rPr>
      <w:rFonts w:ascii="Cambria" w:hAnsi="Cambria" w:eastAsia="Times New Roman" w:cs="Times New Roman"/>
      <w:sz w:val="28"/>
      <w:szCs w:val="28"/>
    </w:rPr>
  </w:style>
  <w:style w:type="character" w:styleId="Heading7Char" w:customStyle="1">
    <w:name w:val="Heading 7 Char"/>
    <w:basedOn w:val="DefaultParagraphFont"/>
    <w:link w:val="Heading7"/>
    <w:uiPriority w:val="9"/>
    <w:semiHidden/>
    <w:qFormat/>
    <w:rsid w:val="00277167"/>
    <w:rPr>
      <w:rFonts w:ascii="Cambria" w:hAnsi="Cambria" w:eastAsia="Times New Roman" w:cs="Times New Roman"/>
      <w:sz w:val="24"/>
      <w:szCs w:val="24"/>
    </w:rPr>
  </w:style>
  <w:style w:type="character" w:styleId="Heading8Char" w:customStyle="1">
    <w:name w:val="Heading 8 Char"/>
    <w:basedOn w:val="DefaultParagraphFont"/>
    <w:link w:val="Heading8"/>
    <w:uiPriority w:val="9"/>
    <w:semiHidden/>
    <w:qFormat/>
    <w:rsid w:val="00277167"/>
    <w:rPr>
      <w:rFonts w:ascii="Cambria" w:hAnsi="Cambria" w:eastAsia="Times New Roman" w:cs="Times New Roman"/>
      <w:i/>
      <w:iCs/>
    </w:rPr>
  </w:style>
  <w:style w:type="character" w:styleId="Heading9Char" w:customStyle="1">
    <w:name w:val="Heading 9 Char"/>
    <w:basedOn w:val="DefaultParagraphFont"/>
    <w:link w:val="Heading9"/>
    <w:uiPriority w:val="9"/>
    <w:semiHidden/>
    <w:qFormat/>
    <w:rsid w:val="00277167"/>
    <w:rPr>
      <w:rFonts w:ascii="Calibri" w:hAnsi="Calibri" w:eastAsia="Times New Roman" w:cs="Times New Roman"/>
      <w:b/>
      <w:bCs/>
      <w:i/>
      <w:iCs/>
      <w:sz w:val="21"/>
      <w:szCs w:val="21"/>
    </w:rPr>
  </w:style>
  <w:style w:type="character" w:styleId="HeaderChar" w:customStyle="1">
    <w:name w:val="Header Char"/>
    <w:basedOn w:val="DefaultParagraphFont"/>
    <w:link w:val="Header"/>
    <w:qFormat/>
    <w:rsid w:val="00277167"/>
    <w:rPr>
      <w:rFonts w:ascii="Calibri" w:hAnsi="Calibri" w:eastAsia="Times New Roman" w:cs="Times New Roman"/>
      <w:sz w:val="21"/>
      <w:szCs w:val="21"/>
    </w:rPr>
  </w:style>
  <w:style w:type="character" w:styleId="FooterChar" w:customStyle="1">
    <w:name w:val="Footer Char"/>
    <w:basedOn w:val="DefaultParagraphFont"/>
    <w:link w:val="Footer"/>
    <w:uiPriority w:val="99"/>
    <w:qFormat/>
    <w:rsid w:val="00277167"/>
    <w:rPr>
      <w:rFonts w:ascii="Calibri" w:hAnsi="Calibri" w:eastAsia="Times New Roman" w:cs="Times New Roman"/>
      <w:sz w:val="21"/>
      <w:szCs w:val="21"/>
    </w:rPr>
  </w:style>
  <w:style w:type="character" w:styleId="TitleChar" w:customStyle="1">
    <w:name w:val="Title Char"/>
    <w:basedOn w:val="DefaultParagraphFont"/>
    <w:link w:val="Title"/>
    <w:qFormat/>
    <w:rsid w:val="00277167"/>
    <w:rPr>
      <w:rFonts w:ascii="Cambria" w:hAnsi="Cambria" w:eastAsia="Times New Roman" w:cs="Times New Roman"/>
      <w:caps/>
      <w:color w:val="1F497D"/>
      <w:spacing w:val="30"/>
      <w:sz w:val="72"/>
      <w:szCs w:val="72"/>
    </w:rPr>
  </w:style>
  <w:style w:type="character" w:styleId="SubtitleChar" w:customStyle="1">
    <w:name w:val="Subtitle Char"/>
    <w:basedOn w:val="DefaultParagraphFont"/>
    <w:link w:val="Subtitle"/>
    <w:uiPriority w:val="11"/>
    <w:qFormat/>
    <w:rsid w:val="00277167"/>
    <w:rPr>
      <w:rFonts w:ascii="Calibri" w:hAnsi="Calibri" w:eastAsia="Times New Roman" w:cs="Times New Roman"/>
      <w:color w:val="1F497D"/>
      <w:sz w:val="28"/>
      <w:szCs w:val="28"/>
    </w:rPr>
  </w:style>
  <w:style w:type="character" w:styleId="Strong">
    <w:name w:val="Strong"/>
    <w:uiPriority w:val="22"/>
    <w:qFormat/>
    <w:rsid w:val="00277167"/>
    <w:rPr>
      <w:b/>
      <w:bCs/>
    </w:rPr>
  </w:style>
  <w:style w:type="character" w:styleId="QuoteChar" w:customStyle="1">
    <w:name w:val="Quote Char"/>
    <w:basedOn w:val="DefaultParagraphFont"/>
    <w:link w:val="Quote"/>
    <w:uiPriority w:val="29"/>
    <w:qFormat/>
    <w:rsid w:val="00277167"/>
    <w:rPr>
      <w:rFonts w:ascii="Calibri" w:hAnsi="Calibri" w:eastAsia="Times New Roman" w:cs="Times New Roman"/>
      <w:i/>
      <w:iCs/>
      <w:color w:val="76923C"/>
      <w:sz w:val="24"/>
      <w:szCs w:val="24"/>
    </w:rPr>
  </w:style>
  <w:style w:type="character" w:styleId="IntenseQuoteChar" w:customStyle="1">
    <w:name w:val="Intense Quote Char"/>
    <w:basedOn w:val="DefaultParagraphFont"/>
    <w:link w:val="IntenseQuote"/>
    <w:uiPriority w:val="30"/>
    <w:qFormat/>
    <w:rsid w:val="00277167"/>
    <w:rPr>
      <w:rFonts w:ascii="Cambria" w:hAnsi="Cambria" w:eastAsia="Times New Roman" w:cs="Times New Roman"/>
      <w:caps/>
      <w:color w:val="365F91"/>
      <w:sz w:val="28"/>
      <w:szCs w:val="28"/>
    </w:rPr>
  </w:style>
  <w:style w:type="character" w:styleId="SubtleEmphasis">
    <w:name w:val="Subtle Emphasis"/>
    <w:uiPriority w:val="19"/>
    <w:qFormat/>
    <w:rsid w:val="00277167"/>
    <w:rPr>
      <w:i/>
      <w:iCs/>
      <w:color w:val="595959"/>
    </w:rPr>
  </w:style>
  <w:style w:type="character" w:styleId="IntenseEmphasis">
    <w:name w:val="Intense Emphasis"/>
    <w:uiPriority w:val="21"/>
    <w:qFormat/>
    <w:rsid w:val="00277167"/>
    <w:rPr>
      <w:b/>
      <w:bCs/>
      <w:i/>
      <w:iCs/>
      <w:color w:val="auto"/>
    </w:rPr>
  </w:style>
  <w:style w:type="character" w:styleId="SubtleReference">
    <w:name w:val="Subtle Reference"/>
    <w:uiPriority w:val="31"/>
    <w:qFormat/>
    <w:rsid w:val="00277167"/>
    <w:rPr>
      <w:smallCaps/>
      <w:color w:val="404040"/>
      <w:spacing w:val="0"/>
      <w:u w:val="single" w:color="7F7F7F"/>
    </w:rPr>
  </w:style>
  <w:style w:type="character" w:styleId="IntenseReference">
    <w:name w:val="Intense Reference"/>
    <w:uiPriority w:val="32"/>
    <w:qFormat/>
    <w:rsid w:val="00277167"/>
    <w:rPr>
      <w:b/>
      <w:bCs/>
      <w:smallCaps/>
      <w:color w:val="auto"/>
      <w:spacing w:val="0"/>
      <w:u w:val="single"/>
    </w:rPr>
  </w:style>
  <w:style w:type="character" w:styleId="BookTitle">
    <w:name w:val="Book Title"/>
    <w:uiPriority w:val="33"/>
    <w:qFormat/>
    <w:rsid w:val="00277167"/>
    <w:rPr>
      <w:b/>
      <w:bCs/>
      <w:smallCaps/>
      <w:spacing w:val="0"/>
    </w:rPr>
  </w:style>
  <w:style w:type="character" w:styleId="Annotationreference">
    <w:name w:val="annotation reference"/>
    <w:uiPriority w:val="99"/>
    <w:semiHidden/>
    <w:unhideWhenUsed/>
    <w:qFormat/>
    <w:rsid w:val="00277167"/>
    <w:rPr>
      <w:sz w:val="16"/>
      <w:szCs w:val="16"/>
    </w:rPr>
  </w:style>
  <w:style w:type="character" w:styleId="CommentTextChar" w:customStyle="1">
    <w:name w:val="Comment Text Char"/>
    <w:basedOn w:val="DefaultParagraphFont"/>
    <w:link w:val="CommentText"/>
    <w:uiPriority w:val="99"/>
    <w:qFormat/>
    <w:rsid w:val="00277167"/>
    <w:rPr>
      <w:rFonts w:ascii="Calibri" w:hAnsi="Calibri" w:eastAsia="Times New Roman" w:cs="Times New Roman"/>
      <w:sz w:val="20"/>
      <w:szCs w:val="20"/>
    </w:rPr>
  </w:style>
  <w:style w:type="character" w:styleId="CommentSubjectChar" w:customStyle="1">
    <w:name w:val="Comment Subject Char"/>
    <w:basedOn w:val="CommentTextChar"/>
    <w:link w:val="CommentSubject"/>
    <w:uiPriority w:val="99"/>
    <w:semiHidden/>
    <w:qFormat/>
    <w:rsid w:val="00277167"/>
    <w:rPr>
      <w:rFonts w:ascii="Calibri" w:hAnsi="Calibri" w:eastAsia="Times New Roman" w:cs="Times New Roman"/>
      <w:b/>
      <w:bCs/>
      <w:sz w:val="20"/>
      <w:szCs w:val="20"/>
    </w:rPr>
  </w:style>
  <w:style w:type="character" w:styleId="NoSpacingChar" w:customStyle="1">
    <w:name w:val="No Spacing Char"/>
    <w:basedOn w:val="DefaultParagraphFont"/>
    <w:link w:val="NoSpacing"/>
    <w:uiPriority w:val="1"/>
    <w:qFormat/>
    <w:rsid w:val="00277167"/>
    <w:rPr>
      <w:rFonts w:ascii="Times New Roman" w:hAnsi="Times New Roman" w:eastAsia="Times New Roman" w:cs="Times New Roman"/>
      <w:szCs w:val="20"/>
      <w:lang w:eastAsia="hr-HR"/>
    </w:rPr>
  </w:style>
  <w:style w:type="character" w:styleId="BodyText2Char" w:customStyle="1">
    <w:name w:val="Body Text 2 Char"/>
    <w:basedOn w:val="DefaultParagraphFont"/>
    <w:link w:val="BodyText2"/>
    <w:uiPriority w:val="99"/>
    <w:semiHidden/>
    <w:qFormat/>
    <w:rsid w:val="006f0cd1"/>
    <w:rPr/>
  </w:style>
  <w:style w:type="character" w:styleId="BodyText3Char" w:customStyle="1">
    <w:name w:val="Body Text 3 Char"/>
    <w:basedOn w:val="DefaultParagraphFont"/>
    <w:link w:val="BodyText3"/>
    <w:uiPriority w:val="99"/>
    <w:semiHidden/>
    <w:qFormat/>
    <w:rsid w:val="006f0cd1"/>
    <w:rPr>
      <w:sz w:val="16"/>
      <w:szCs w:val="16"/>
    </w:rPr>
  </w:style>
  <w:style w:type="character" w:styleId="Internetskapoveznica">
    <w:name w:val="Internetska poveznica"/>
    <w:basedOn w:val="DefaultParagraphFont"/>
    <w:uiPriority w:val="99"/>
    <w:unhideWhenUsed/>
    <w:rsid w:val="006f0cd1"/>
    <w:rPr>
      <w:color w:val="0563C1" w:themeColor="hyperlink"/>
      <w:u w:val="single"/>
    </w:rPr>
  </w:style>
  <w:style w:type="character" w:styleId="PlainTextChar" w:customStyle="1">
    <w:name w:val="Plain Text Char"/>
    <w:basedOn w:val="DefaultParagraphFont"/>
    <w:link w:val="PlainText"/>
    <w:uiPriority w:val="99"/>
    <w:semiHidden/>
    <w:qFormat/>
    <w:rsid w:val="00cf5d14"/>
    <w:rPr>
      <w:rFonts w:ascii="Calibri" w:hAnsi="Calibri" w:cs="Calibri"/>
    </w:rPr>
  </w:style>
  <w:style w:type="character" w:styleId="Bold" w:customStyle="1">
    <w:name w:val="bold"/>
    <w:basedOn w:val="DefaultParagraphFont"/>
    <w:qFormat/>
    <w:rsid w:val="00fb7d11"/>
    <w:rPr/>
  </w:style>
  <w:style w:type="character" w:styleId="Kurziv" w:customStyle="1">
    <w:name w:val="kurziv"/>
    <w:basedOn w:val="DefaultParagraphFont"/>
    <w:qFormat/>
    <w:rsid w:val="00fb7d11"/>
    <w:rPr/>
  </w:style>
  <w:style w:type="paragraph" w:styleId="Stilnaslova">
    <w:name w:val="Stil naslova"/>
    <w:basedOn w:val="Normal"/>
    <w:next w:val="Tijeloteksta"/>
    <w:qFormat/>
    <w:pPr>
      <w:keepNext w:val="true"/>
      <w:spacing w:before="240" w:after="120"/>
    </w:pPr>
    <w:rPr>
      <w:rFonts w:ascii="Liberation Sans" w:hAnsi="Liberation Sans" w:eastAsia="Microsoft YaHei" w:cs="Arial"/>
      <w:sz w:val="28"/>
      <w:szCs w:val="28"/>
    </w:rPr>
  </w:style>
  <w:style w:type="paragraph" w:styleId="Tijeloteksta">
    <w:name w:val="Body Text"/>
    <w:basedOn w:val="Normal"/>
    <w:link w:val="BodyTextChar"/>
    <w:rsid w:val="000b0f57"/>
    <w:pPr>
      <w:spacing w:before="0" w:after="120"/>
    </w:pPr>
    <w:rPr>
      <w:rFonts w:ascii="Arial" w:hAnsi="Arial"/>
      <w:sz w:val="22"/>
      <w:szCs w:val="20"/>
    </w:rPr>
  </w:style>
  <w:style w:type="paragraph" w:styleId="List">
    <w:name w:val="List"/>
    <w:basedOn w:val="Tijeloteksta"/>
    <w:pPr/>
    <w:rPr>
      <w:rFonts w:cs="Arial"/>
    </w:rPr>
  </w:style>
  <w:style w:type="paragraph" w:styleId="Opiselementa">
    <w:name w:val="Caption"/>
    <w:basedOn w:val="Normal"/>
    <w:qFormat/>
    <w:pPr>
      <w:suppressLineNumbers/>
      <w:spacing w:before="120" w:after="120"/>
    </w:pPr>
    <w:rPr>
      <w:rFonts w:cs="Arial"/>
      <w:i/>
      <w:iCs/>
      <w:sz w:val="24"/>
      <w:szCs w:val="24"/>
    </w:rPr>
  </w:style>
  <w:style w:type="paragraph" w:styleId="Indeks">
    <w:name w:val="Indeks"/>
    <w:basedOn w:val="Normal"/>
    <w:qFormat/>
    <w:pPr>
      <w:suppressLineNumbers/>
    </w:pPr>
    <w:rPr>
      <w:rFonts w:cs="Arial"/>
    </w:rPr>
  </w:style>
  <w:style w:type="paragraph" w:styleId="ListParagraph">
    <w:name w:val="List Paragraph"/>
    <w:basedOn w:val="Normal"/>
    <w:uiPriority w:val="34"/>
    <w:qFormat/>
    <w:rsid w:val="007b1b2d"/>
    <w:pPr>
      <w:spacing w:before="0" w:after="0"/>
      <w:ind w:left="720" w:hanging="0"/>
      <w:contextualSpacing/>
    </w:pPr>
    <w:rPr/>
  </w:style>
  <w:style w:type="paragraph" w:styleId="Uvlakatijelateksta">
    <w:name w:val="Body Text Indent"/>
    <w:basedOn w:val="Normal"/>
    <w:link w:val="BodyTextIndentChar"/>
    <w:uiPriority w:val="99"/>
    <w:rsid w:val="007810d9"/>
    <w:pPr>
      <w:widowControl w:val="false"/>
      <w:jc w:val="both"/>
    </w:pPr>
    <w:rPr>
      <w:rFonts w:ascii="Charter HR" w:hAnsi="Charter HR"/>
      <w:sz w:val="20"/>
      <w:szCs w:val="20"/>
      <w:lang w:val="en-US"/>
    </w:rPr>
  </w:style>
  <w:style w:type="paragraph" w:styleId="BalloonText">
    <w:name w:val="Balloon Text"/>
    <w:basedOn w:val="Normal"/>
    <w:link w:val="BalloonTextChar"/>
    <w:uiPriority w:val="99"/>
    <w:semiHidden/>
    <w:unhideWhenUsed/>
    <w:qFormat/>
    <w:rsid w:val="00e573c9"/>
    <w:pPr/>
    <w:rPr>
      <w:rFonts w:ascii="Segoe UI" w:hAnsi="Segoe UI" w:cs="Segoe UI"/>
      <w:sz w:val="18"/>
      <w:szCs w:val="18"/>
    </w:rPr>
  </w:style>
  <w:style w:type="paragraph" w:styleId="NoSpacing">
    <w:name w:val="No Spacing"/>
    <w:link w:val="NoSpacingChar"/>
    <w:uiPriority w:val="1"/>
    <w:qFormat/>
    <w:rsid w:val="000b0f57"/>
    <w:pPr>
      <w:widowControl/>
      <w:bidi w:val="0"/>
      <w:spacing w:lineRule="auto" w:line="240" w:before="0" w:after="0"/>
      <w:jc w:val="left"/>
    </w:pPr>
    <w:rPr>
      <w:rFonts w:ascii="Times New Roman" w:hAnsi="Times New Roman" w:eastAsia="Times New Roman" w:cs="Times New Roman"/>
      <w:color w:val="auto"/>
      <w:kern w:val="0"/>
      <w:sz w:val="22"/>
      <w:szCs w:val="20"/>
      <w:lang w:eastAsia="hr-HR" w:val="hr-HR" w:bidi="ar-SA"/>
    </w:rPr>
  </w:style>
  <w:style w:type="paragraph" w:styleId="NormalWeb">
    <w:name w:val="Normal (Web)"/>
    <w:basedOn w:val="Normal"/>
    <w:uiPriority w:val="99"/>
    <w:unhideWhenUsed/>
    <w:qFormat/>
    <w:rsid w:val="00c65c74"/>
    <w:pPr>
      <w:spacing w:beforeAutospacing="1" w:afterAutospacing="1"/>
    </w:pPr>
    <w:rPr>
      <w:rFonts w:eastAsia="Calibri" w:eastAsiaTheme="minorHAnsi"/>
    </w:rPr>
  </w:style>
  <w:style w:type="paragraph" w:styleId="Zaglavljeipodnoje">
    <w:name w:val="Zaglavlje i podnožje"/>
    <w:basedOn w:val="Normal"/>
    <w:qFormat/>
    <w:pPr/>
    <w:rPr/>
  </w:style>
  <w:style w:type="paragraph" w:styleId="Zaglavlje">
    <w:name w:val="Header"/>
    <w:basedOn w:val="Normal"/>
    <w:link w:val="HeaderChar"/>
    <w:unhideWhenUsed/>
    <w:rsid w:val="00277167"/>
    <w:pPr>
      <w:tabs>
        <w:tab w:val="clear" w:pos="708"/>
        <w:tab w:val="center" w:pos="4536" w:leader="none"/>
        <w:tab w:val="right" w:pos="9072" w:leader="none"/>
      </w:tabs>
    </w:pPr>
    <w:rPr>
      <w:rFonts w:ascii="Calibri" w:hAnsi="Calibri"/>
      <w:sz w:val="21"/>
      <w:szCs w:val="21"/>
      <w:lang w:eastAsia="en-US"/>
    </w:rPr>
  </w:style>
  <w:style w:type="paragraph" w:styleId="Podnoje">
    <w:name w:val="Footer"/>
    <w:basedOn w:val="Normal"/>
    <w:link w:val="FooterChar"/>
    <w:uiPriority w:val="99"/>
    <w:unhideWhenUsed/>
    <w:rsid w:val="00277167"/>
    <w:pPr>
      <w:tabs>
        <w:tab w:val="clear" w:pos="708"/>
        <w:tab w:val="center" w:pos="4536" w:leader="none"/>
        <w:tab w:val="right" w:pos="9072" w:leader="none"/>
      </w:tabs>
    </w:pPr>
    <w:rPr>
      <w:rFonts w:ascii="Calibri" w:hAnsi="Calibri"/>
      <w:sz w:val="21"/>
      <w:szCs w:val="21"/>
      <w:lang w:eastAsia="en-US"/>
    </w:rPr>
  </w:style>
  <w:style w:type="paragraph" w:styleId="Caption">
    <w:name w:val="caption"/>
    <w:basedOn w:val="Normal"/>
    <w:next w:val="Normal"/>
    <w:uiPriority w:val="35"/>
    <w:semiHidden/>
    <w:unhideWhenUsed/>
    <w:qFormat/>
    <w:rsid w:val="00277167"/>
    <w:pPr>
      <w:spacing w:before="0" w:after="160"/>
    </w:pPr>
    <w:rPr>
      <w:rFonts w:ascii="Calibri" w:hAnsi="Calibri"/>
      <w:b/>
      <w:bCs/>
      <w:color w:val="404040"/>
      <w:sz w:val="16"/>
      <w:szCs w:val="16"/>
      <w:lang w:eastAsia="en-US"/>
    </w:rPr>
  </w:style>
  <w:style w:type="paragraph" w:styleId="Naslov">
    <w:name w:val="Title"/>
    <w:basedOn w:val="Normal"/>
    <w:next w:val="Normal"/>
    <w:link w:val="TitleChar"/>
    <w:qFormat/>
    <w:rsid w:val="00277167"/>
    <w:pPr>
      <w:pBdr>
        <w:top w:val="single" w:sz="6" w:space="8" w:color="9BBB59"/>
        <w:bottom w:val="single" w:sz="6" w:space="8" w:color="9BBB59"/>
      </w:pBdr>
      <w:spacing w:before="0" w:after="400"/>
      <w:contextualSpacing/>
      <w:jc w:val="center"/>
    </w:pPr>
    <w:rPr>
      <w:rFonts w:ascii="Cambria" w:hAnsi="Cambria"/>
      <w:caps/>
      <w:color w:val="1F497D"/>
      <w:spacing w:val="30"/>
      <w:sz w:val="72"/>
      <w:szCs w:val="72"/>
      <w:lang w:eastAsia="en-US"/>
    </w:rPr>
  </w:style>
  <w:style w:type="paragraph" w:styleId="Podnaslov">
    <w:name w:val="Subtitle"/>
    <w:basedOn w:val="Normal"/>
    <w:next w:val="Normal"/>
    <w:link w:val="SubtitleChar"/>
    <w:uiPriority w:val="11"/>
    <w:qFormat/>
    <w:rsid w:val="00277167"/>
    <w:pPr>
      <w:spacing w:lineRule="auto" w:line="300" w:before="0" w:after="160"/>
      <w:jc w:val="center"/>
    </w:pPr>
    <w:rPr>
      <w:rFonts w:ascii="Calibri" w:hAnsi="Calibri"/>
      <w:color w:val="1F497D"/>
      <w:sz w:val="28"/>
      <w:szCs w:val="28"/>
      <w:lang w:eastAsia="en-US"/>
    </w:rPr>
  </w:style>
  <w:style w:type="paragraph" w:styleId="Quote">
    <w:name w:val="Quote"/>
    <w:basedOn w:val="Normal"/>
    <w:next w:val="Normal"/>
    <w:link w:val="QuoteChar"/>
    <w:uiPriority w:val="29"/>
    <w:qFormat/>
    <w:rsid w:val="00277167"/>
    <w:pPr>
      <w:spacing w:lineRule="auto" w:line="300" w:before="160" w:after="160"/>
      <w:ind w:left="720" w:right="720" w:hanging="0"/>
      <w:jc w:val="center"/>
    </w:pPr>
    <w:rPr>
      <w:rFonts w:ascii="Calibri" w:hAnsi="Calibri"/>
      <w:i/>
      <w:iCs/>
      <w:color w:val="76923C"/>
      <w:lang w:eastAsia="en-US"/>
    </w:rPr>
  </w:style>
  <w:style w:type="paragraph" w:styleId="IntenseQuote">
    <w:name w:val="Intense Quote"/>
    <w:basedOn w:val="Normal"/>
    <w:next w:val="Normal"/>
    <w:link w:val="IntenseQuoteChar"/>
    <w:uiPriority w:val="30"/>
    <w:qFormat/>
    <w:rsid w:val="00277167"/>
    <w:pPr>
      <w:spacing w:lineRule="auto" w:line="276" w:before="160" w:after="160"/>
      <w:ind w:left="936" w:right="936" w:hanging="0"/>
      <w:jc w:val="center"/>
    </w:pPr>
    <w:rPr>
      <w:rFonts w:ascii="Cambria" w:hAnsi="Cambria"/>
      <w:caps/>
      <w:color w:val="365F91"/>
      <w:sz w:val="28"/>
      <w:szCs w:val="28"/>
      <w:lang w:eastAsia="en-US"/>
    </w:rPr>
  </w:style>
  <w:style w:type="paragraph" w:styleId="TOCHeading">
    <w:name w:val="TOC Heading"/>
    <w:basedOn w:val="Stilnaslova1"/>
    <w:next w:val="Normal"/>
    <w:uiPriority w:val="39"/>
    <w:semiHidden/>
    <w:unhideWhenUsed/>
    <w:qFormat/>
    <w:rsid w:val="00277167"/>
    <w:pPr>
      <w:spacing w:before="320" w:after="80"/>
      <w:jc w:val="center"/>
    </w:pPr>
    <w:rPr>
      <w:rFonts w:ascii="Cambria" w:hAnsi="Cambria" w:eastAsia="Times New Roman" w:cs="Times New Roman"/>
      <w:color w:val="365F91"/>
      <w:sz w:val="40"/>
      <w:szCs w:val="40"/>
      <w:lang w:eastAsia="en-US"/>
    </w:rPr>
  </w:style>
  <w:style w:type="paragraph" w:styleId="Doc" w:customStyle="1">
    <w:name w:val="doc"/>
    <w:basedOn w:val="Normal"/>
    <w:qFormat/>
    <w:rsid w:val="00277167"/>
    <w:pPr>
      <w:spacing w:lineRule="atLeast" w:line="300" w:before="0" w:after="75"/>
      <w:jc w:val="both"/>
    </w:pPr>
    <w:rPr>
      <w:rFonts w:ascii="Arial" w:hAnsi="Arial" w:eastAsia="SimSun" w:cs="Arial"/>
      <w:sz w:val="20"/>
      <w:szCs w:val="20"/>
      <w:lang w:eastAsia="zh-CN"/>
    </w:rPr>
  </w:style>
  <w:style w:type="paragraph" w:styleId="T98bezuvl" w:customStyle="1">
    <w:name w:val="t-9-8-bez-uvl"/>
    <w:basedOn w:val="Normal"/>
    <w:qFormat/>
    <w:rsid w:val="00277167"/>
    <w:pPr>
      <w:spacing w:beforeAutospacing="1" w:afterAutospacing="1"/>
    </w:pPr>
    <w:rPr>
      <w:rFonts w:eastAsia="SimSun"/>
      <w:lang w:eastAsia="zh-CN"/>
    </w:rPr>
  </w:style>
  <w:style w:type="paragraph" w:styleId="T98" w:customStyle="1">
    <w:name w:val="t-9-8"/>
    <w:basedOn w:val="Normal"/>
    <w:qFormat/>
    <w:rsid w:val="00277167"/>
    <w:pPr>
      <w:spacing w:beforeAutospacing="1" w:afterAutospacing="1"/>
    </w:pPr>
    <w:rPr>
      <w:rFonts w:eastAsia="SimSun"/>
      <w:lang w:eastAsia="zh-CN"/>
    </w:rPr>
  </w:style>
  <w:style w:type="paragraph" w:styleId="Annotationtext">
    <w:name w:val="annotation text"/>
    <w:basedOn w:val="Normal"/>
    <w:link w:val="CommentTextChar"/>
    <w:uiPriority w:val="99"/>
    <w:unhideWhenUsed/>
    <w:qFormat/>
    <w:rsid w:val="00277167"/>
    <w:pPr>
      <w:spacing w:before="0" w:after="160"/>
    </w:pPr>
    <w:rPr>
      <w:rFonts w:ascii="Calibri" w:hAnsi="Calibri"/>
      <w:sz w:val="20"/>
      <w:szCs w:val="20"/>
      <w:lang w:eastAsia="en-US"/>
    </w:rPr>
  </w:style>
  <w:style w:type="paragraph" w:styleId="Annotationsubject">
    <w:name w:val="annotation subject"/>
    <w:basedOn w:val="Annotationtext"/>
    <w:next w:val="Annotationtext"/>
    <w:link w:val="CommentSubjectChar"/>
    <w:uiPriority w:val="99"/>
    <w:semiHidden/>
    <w:unhideWhenUsed/>
    <w:qFormat/>
    <w:rsid w:val="00277167"/>
    <w:pPr/>
    <w:rPr>
      <w:b/>
      <w:bCs/>
    </w:rPr>
  </w:style>
  <w:style w:type="paragraph" w:styleId="M5226747107962846353msolistparagraph" w:customStyle="1">
    <w:name w:val="m_-5226747107962846353msolistparagraph"/>
    <w:basedOn w:val="Normal"/>
    <w:qFormat/>
    <w:rsid w:val="009742b1"/>
    <w:pPr>
      <w:spacing w:beforeAutospacing="1" w:afterAutospacing="1"/>
    </w:pPr>
    <w:rPr/>
  </w:style>
  <w:style w:type="paragraph" w:styleId="Xmsonormal" w:customStyle="1">
    <w:name w:val="x_msonormal"/>
    <w:basedOn w:val="Normal"/>
    <w:qFormat/>
    <w:rsid w:val="00ca493f"/>
    <w:pPr>
      <w:spacing w:beforeAutospacing="1" w:afterAutospacing="1"/>
    </w:pPr>
    <w:rPr>
      <w:rFonts w:eastAsia="Calibri" w:eastAsiaTheme="minorHAnsi"/>
    </w:rPr>
  </w:style>
  <w:style w:type="paragraph" w:styleId="BodyText2">
    <w:name w:val="Body Text 2"/>
    <w:basedOn w:val="Normal"/>
    <w:link w:val="BodyText2Char"/>
    <w:uiPriority w:val="99"/>
    <w:semiHidden/>
    <w:unhideWhenUsed/>
    <w:qFormat/>
    <w:rsid w:val="006f0cd1"/>
    <w:pPr>
      <w:spacing w:lineRule="auto" w:line="480" w:before="0" w:after="120"/>
    </w:pPr>
    <w:rPr>
      <w:rFonts w:ascii="Calibri" w:hAnsi="Calibri" w:eastAsia="Calibri" w:cs="" w:asciiTheme="minorHAnsi" w:cstheme="minorBidi" w:eastAsiaTheme="minorHAnsi" w:hAnsiTheme="minorHAnsi"/>
      <w:sz w:val="22"/>
      <w:szCs w:val="22"/>
      <w:lang w:eastAsia="en-US"/>
    </w:rPr>
  </w:style>
  <w:style w:type="paragraph" w:styleId="BodyText3">
    <w:name w:val="Body Text 3"/>
    <w:basedOn w:val="Normal"/>
    <w:link w:val="BodyText3Char"/>
    <w:uiPriority w:val="99"/>
    <w:semiHidden/>
    <w:unhideWhenUsed/>
    <w:qFormat/>
    <w:rsid w:val="006f0cd1"/>
    <w:pPr>
      <w:spacing w:lineRule="auto" w:line="276" w:before="0" w:after="120"/>
    </w:pPr>
    <w:rPr>
      <w:rFonts w:ascii="Calibri" w:hAnsi="Calibri" w:eastAsia="Calibri" w:cs="" w:asciiTheme="minorHAnsi" w:cstheme="minorBidi" w:eastAsiaTheme="minorHAnsi" w:hAnsiTheme="minorHAnsi"/>
      <w:sz w:val="16"/>
      <w:szCs w:val="16"/>
      <w:lang w:eastAsia="en-US"/>
    </w:rPr>
  </w:style>
  <w:style w:type="paragraph" w:styleId="PlainText">
    <w:name w:val="Plain Text"/>
    <w:basedOn w:val="Normal"/>
    <w:link w:val="PlainTextChar"/>
    <w:uiPriority w:val="99"/>
    <w:semiHidden/>
    <w:unhideWhenUsed/>
    <w:qFormat/>
    <w:rsid w:val="00cf5d14"/>
    <w:pPr/>
    <w:rPr>
      <w:rFonts w:ascii="Calibri" w:hAnsi="Calibri" w:eastAsia="Calibri" w:cs="Calibri" w:eastAsiaTheme="minorHAnsi"/>
      <w:sz w:val="22"/>
      <w:szCs w:val="22"/>
      <w:lang w:eastAsia="en-US"/>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 w:type="table" w:styleId="TableGrid">
    <w:name w:val="Table Grid"/>
    <w:basedOn w:val="TableNormal"/>
    <w:uiPriority w:val="39"/>
    <w:rsid w:val="00277167"/>
    <w:pPr>
      <w:spacing w:after="0" w:line="240" w:lineRule="auto"/>
    </w:pPr>
    <w:rPr>
      <w:lang w:eastAsia="hr-HR"/>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wmf"/><Relationship Id="rId3" Type="http://schemas.openxmlformats.org/officeDocument/2006/relationships/numbering" Target="numbering.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customXml" Target="../customXml/item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E7C9A7-6BCB-4BE4-AF9F-5BF031D455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Application>LibreOffice/7.0.1.2$Windows_X86_64 LibreOffice_project/7cbcfc562f6eb6708b5ff7d7397325de9e764452</Application>
  <Pages>15</Pages>
  <Words>2987</Words>
  <Characters>18138</Characters>
  <CharactersWithSpaces>20930</CharactersWithSpaces>
  <Paragraphs>393</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2023-07-05T11:20:00Z</dcterms:created>
  <dc:creator>Tajnik</dc:creator>
  <dc:description/>
  <dc:language>hr-HR</dc:language>
  <cp:lastModifiedBy>Korisnik</cp:lastModifiedBy>
  <cp:lastPrinted>2023-07-04T12:06:00Z</cp:lastPrinted>
  <dcterms:modified xsi:type="dcterms:W3CDTF">2023-07-05T11:20:00Z</dcterms:modified>
  <cp:revision>2</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