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137084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137084" w:rsidRDefault="00416D67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137084" w:rsidRDefault="00416D67">
            <w:pPr>
              <w:spacing w:after="0" w:line="240" w:lineRule="auto"/>
            </w:pPr>
            <w:r>
              <w:t>11293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137084" w:rsidRDefault="00416D67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137084" w:rsidRDefault="00416D67">
            <w:pPr>
              <w:spacing w:after="0" w:line="240" w:lineRule="auto"/>
            </w:pPr>
            <w:r>
              <w:t>OSNOVNA ŠKOLA PODMURVICE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137084" w:rsidRDefault="00416D67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137084" w:rsidRDefault="00416D67">
            <w:pPr>
              <w:spacing w:after="0" w:line="240" w:lineRule="auto"/>
            </w:pPr>
            <w:r>
              <w:t>31</w:t>
            </w:r>
          </w:p>
        </w:tc>
      </w:tr>
    </w:tbl>
    <w:p w:rsidR="00137084" w:rsidRDefault="00416D67">
      <w:r>
        <w:br/>
      </w:r>
    </w:p>
    <w:p w:rsidR="00137084" w:rsidRDefault="00416D67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137084" w:rsidRDefault="00416D67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137084" w:rsidRDefault="00416D67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137084" w:rsidRDefault="00137084"/>
    <w:p w:rsidR="00137084" w:rsidRDefault="00416D67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137084" w:rsidRDefault="00416D67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370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924.212,91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1.132.520,95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122,5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913.982,61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1.165.751,55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127,5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13708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33.230,60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13708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PRIHODA OD NEFINANCIJSKE IMOVINE (šifre 7-4,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X002, 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55,07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13708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13708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33.230,60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137084" w:rsidRDefault="00137084">
      <w:pPr>
        <w:spacing w:after="0"/>
      </w:pPr>
    </w:p>
    <w:p w:rsidR="00137084" w:rsidRDefault="00416D67">
      <w:pPr>
        <w:spacing w:line="240" w:lineRule="auto"/>
        <w:jc w:val="both"/>
      </w:pPr>
      <w:r>
        <w:t xml:space="preserve">Prihodi i rashodi u 2025.godini su povećani u odnosu na prethodnu godinu </w:t>
      </w:r>
      <w:r>
        <w:t>zbog povećanja osnovice za plaće i povećanja režijskih te materijalnih troškova. Početkom godine dobiven je još jedan Erasmus projekt te je isplaćena i nova Akreditacija za postojeći, pa je i uplata Agencije za mobilnost utjecala na povećanje prihoda. Manj</w:t>
      </w:r>
      <w:r>
        <w:t>ak prihoda će biti podmiren u srpnju isplatom plaća, uplatom za režijske troškove od strane Osnivača i uplatama roditelja za usluge produženog boravka.</w:t>
      </w:r>
    </w:p>
    <w:p w:rsidR="00137084" w:rsidRDefault="00416D67">
      <w:r>
        <w:lastRenderedPageBreak/>
        <w:br/>
      </w:r>
    </w:p>
    <w:p w:rsidR="00137084" w:rsidRDefault="00416D67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370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924.212,91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1.132.520,95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122,5</w:t>
            </w:r>
          </w:p>
        </w:tc>
      </w:tr>
    </w:tbl>
    <w:p w:rsidR="00137084" w:rsidRDefault="00137084">
      <w:pPr>
        <w:spacing w:after="0"/>
      </w:pPr>
    </w:p>
    <w:p w:rsidR="00137084" w:rsidRDefault="00416D67">
      <w:pPr>
        <w:spacing w:line="240" w:lineRule="auto"/>
        <w:jc w:val="both"/>
      </w:pPr>
      <w:r>
        <w:t>Prihodi poslovanja su povećani zbog povećanja plaća u 2025. godini te zbog povećanja režijskih troškova.</w:t>
      </w:r>
    </w:p>
    <w:p w:rsidR="00137084" w:rsidRDefault="00137084"/>
    <w:p w:rsidR="00137084" w:rsidRDefault="00416D67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370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proračunskim korisnicima iz proračuna koji im nije nadležan (šifre 6361+6362)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765.441,10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864.205,37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112,9</w:t>
            </w:r>
          </w:p>
        </w:tc>
      </w:tr>
    </w:tbl>
    <w:p w:rsidR="00137084" w:rsidRDefault="00137084">
      <w:pPr>
        <w:spacing w:after="0"/>
      </w:pPr>
    </w:p>
    <w:p w:rsidR="00137084" w:rsidRDefault="00416D67">
      <w:pPr>
        <w:spacing w:line="240" w:lineRule="auto"/>
        <w:jc w:val="both"/>
      </w:pPr>
      <w:r>
        <w:t>Na računima skupine 636 prikazuju se prihodi od pomoći nenadležnog proračuna u ukupnom iznosu od 864.2025,37 €. Povećanje prihoda od 12,9% u odnosu na prošlu godinu.</w:t>
      </w:r>
    </w:p>
    <w:p w:rsidR="00137084" w:rsidRDefault="00137084"/>
    <w:p w:rsidR="00137084" w:rsidRDefault="00416D67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370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</w:t>
            </w:r>
            <w:r>
              <w:rPr>
                <w:b/>
                <w:sz w:val="18"/>
              </w:rPr>
              <w:t xml:space="preserve">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temeljem prijenosa EU sredstava (šifre 6381+6382)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5.871,00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95.958,02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1634,4</w:t>
            </w:r>
          </w:p>
        </w:tc>
      </w:tr>
    </w:tbl>
    <w:p w:rsidR="00137084" w:rsidRDefault="00137084">
      <w:pPr>
        <w:spacing w:after="0"/>
      </w:pPr>
    </w:p>
    <w:p w:rsidR="00137084" w:rsidRDefault="00416D67">
      <w:pPr>
        <w:spacing w:line="240" w:lineRule="auto"/>
        <w:jc w:val="both"/>
      </w:pPr>
      <w:r>
        <w:t>Prihod se odnosi na uplatu Agencija za mobilnost za Erasmus</w:t>
      </w:r>
      <w:r>
        <w:t xml:space="preserve"> projekt akreditacija ( 30.904,80 eura), Erasmus VR </w:t>
      </w:r>
      <w:proofErr w:type="spellStart"/>
      <w:r>
        <w:t>Workout</w:t>
      </w:r>
      <w:proofErr w:type="spellEnd"/>
      <w:r>
        <w:t xml:space="preserve"> projekt (16.400,00 eura) te RINKLUZIJA za zapošljavanje pomoćnika u nastavi (48.653,22 eura).</w:t>
      </w:r>
    </w:p>
    <w:p w:rsidR="00137084" w:rsidRDefault="00137084"/>
    <w:p w:rsidR="00137084" w:rsidRDefault="00416D67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370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 posebnim propisima (šifre 6521 do 6528)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48.671,52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52.521,69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107,9</w:t>
            </w:r>
          </w:p>
        </w:tc>
      </w:tr>
    </w:tbl>
    <w:p w:rsidR="00137084" w:rsidRDefault="00137084">
      <w:pPr>
        <w:spacing w:after="0"/>
      </w:pPr>
    </w:p>
    <w:p w:rsidR="00137084" w:rsidRDefault="00416D67">
      <w:pPr>
        <w:spacing w:line="240" w:lineRule="auto"/>
        <w:jc w:val="both"/>
      </w:pPr>
      <w:r>
        <w:t xml:space="preserve">Prihodi po posebnim propisima su namjenski prihodi od ručka i produženog boravka. U izvještajnom razdoblju </w:t>
      </w:r>
      <w:r>
        <w:t>iznosili su 52.521,69 € što je povećanje od 7,9%.</w:t>
      </w:r>
    </w:p>
    <w:p w:rsidR="00137084" w:rsidRDefault="00137084"/>
    <w:p w:rsidR="00137084" w:rsidRDefault="00416D67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370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iz nadležnog proračuna za </w:t>
            </w:r>
            <w:r>
              <w:rPr>
                <w:sz w:val="18"/>
              </w:rPr>
              <w:t>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92.052,39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118.922,77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129,2</w:t>
            </w:r>
          </w:p>
        </w:tc>
      </w:tr>
    </w:tbl>
    <w:p w:rsidR="00137084" w:rsidRDefault="00137084">
      <w:pPr>
        <w:spacing w:after="0"/>
      </w:pPr>
    </w:p>
    <w:p w:rsidR="00137084" w:rsidRDefault="00416D67">
      <w:pPr>
        <w:spacing w:line="240" w:lineRule="auto"/>
        <w:jc w:val="both"/>
      </w:pPr>
      <w:r>
        <w:t>Iz nadležnog proračuna za financiranje rashoda poslovanja škola je dobila 118.922,77 € što je za 29,2 % više nego 2024. godine.</w:t>
      </w:r>
    </w:p>
    <w:p w:rsidR="00137084" w:rsidRDefault="00137084"/>
    <w:p w:rsidR="00137084" w:rsidRDefault="00416D67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370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</w:t>
            </w:r>
            <w:r>
              <w:rPr>
                <w:b/>
                <w:sz w:val="18"/>
              </w:rPr>
              <w:t xml:space="preserve">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9.969,87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137084" w:rsidRDefault="00137084">
      <w:pPr>
        <w:spacing w:after="0"/>
      </w:pPr>
    </w:p>
    <w:p w:rsidR="00137084" w:rsidRDefault="00416D67">
      <w:pPr>
        <w:spacing w:line="240" w:lineRule="auto"/>
        <w:jc w:val="both"/>
      </w:pPr>
      <w:r>
        <w:t xml:space="preserve">Prihoda iz nadležnog proračuna za </w:t>
      </w:r>
      <w:r>
        <w:t>financiranje rashoda za nabavu nefinancijske imovine u izvještajnom razdoblju nije bilo .</w:t>
      </w:r>
    </w:p>
    <w:p w:rsidR="00137084" w:rsidRDefault="00137084"/>
    <w:p w:rsidR="00137084" w:rsidRDefault="00416D67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370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745.377,40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1.020.944,13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137,0</w:t>
            </w:r>
          </w:p>
        </w:tc>
      </w:tr>
    </w:tbl>
    <w:p w:rsidR="00137084" w:rsidRDefault="00137084">
      <w:pPr>
        <w:spacing w:after="0"/>
      </w:pPr>
    </w:p>
    <w:p w:rsidR="00137084" w:rsidRDefault="00416D67">
      <w:pPr>
        <w:spacing w:line="240" w:lineRule="auto"/>
        <w:jc w:val="both"/>
      </w:pPr>
      <w:r>
        <w:t>U odnosu na prošlu godinu rashodi za zaposlene su se povećali zbog povećanja plaća.</w:t>
      </w:r>
    </w:p>
    <w:p w:rsidR="00137084" w:rsidRDefault="00137084"/>
    <w:p w:rsidR="00137084" w:rsidRDefault="00416D67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370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</w:t>
            </w:r>
            <w:r>
              <w:rPr>
                <w:b/>
                <w:sz w:val="18"/>
              </w:rPr>
              <w:t xml:space="preserve">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12.856,45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144.799,52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1126,3</w:t>
            </w:r>
          </w:p>
        </w:tc>
      </w:tr>
    </w:tbl>
    <w:p w:rsidR="00137084" w:rsidRDefault="00137084">
      <w:pPr>
        <w:spacing w:after="0"/>
      </w:pPr>
    </w:p>
    <w:p w:rsidR="00137084" w:rsidRDefault="00416D67">
      <w:pPr>
        <w:spacing w:line="240" w:lineRule="auto"/>
        <w:jc w:val="both"/>
      </w:pPr>
      <w:r>
        <w:t xml:space="preserve">Prema članku 161. stavak 3. novog pravilnika, na ovoj stavci evidentirana su potraživanja za pomoći od </w:t>
      </w:r>
      <w:r>
        <w:t>proračuna koji nam nije nadležan kao što su plaće, materijalna prava, novac za marende, itd.</w:t>
      </w:r>
    </w:p>
    <w:p w:rsidR="00137084" w:rsidRDefault="00137084"/>
    <w:p w:rsidR="00137084" w:rsidRDefault="00416D67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370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budućih razdoblja i nedospjela naplata prihoda (aktivna vremenska razgraničenja)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134.366,38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137084" w:rsidRDefault="00137084">
      <w:pPr>
        <w:spacing w:after="0"/>
      </w:pPr>
    </w:p>
    <w:p w:rsidR="00137084" w:rsidRDefault="00416D67">
      <w:pPr>
        <w:spacing w:line="240" w:lineRule="auto"/>
        <w:jc w:val="both"/>
      </w:pPr>
      <w:r>
        <w:t>Prema novom pravilniku od 01.01.2025. ukinut je konto 193.</w:t>
      </w:r>
    </w:p>
    <w:p w:rsidR="00137084" w:rsidRDefault="00137084"/>
    <w:p w:rsidR="00137084" w:rsidRDefault="00416D67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137084" w:rsidRDefault="00416D67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1370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 (šifre N231 do N239)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1.051.823,60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137084" w:rsidRDefault="00137084">
      <w:pPr>
        <w:spacing w:after="0"/>
      </w:pPr>
    </w:p>
    <w:p w:rsidR="00137084" w:rsidRDefault="00416D67">
      <w:pPr>
        <w:spacing w:line="240" w:lineRule="auto"/>
        <w:jc w:val="both"/>
      </w:pPr>
      <w:r>
        <w:t>Tijekom prvog polugodišta obveze su se povećale na 1.051.823,60 €, od čega se 909.352,12 € odnosi na obveze za zaposlene, 141.584,81 € za materijalne rashode, 229,67 € za</w:t>
      </w:r>
      <w:r>
        <w:t xml:space="preserve"> financijske rashode, obveze za donacije 657,00 € .</w:t>
      </w:r>
    </w:p>
    <w:p w:rsidR="00137084" w:rsidRDefault="00137084"/>
    <w:p w:rsidR="00137084" w:rsidRDefault="00416D67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1370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 (šifre P231 do P239)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1.058.321,69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137084" w:rsidRDefault="00137084">
      <w:pPr>
        <w:spacing w:after="0"/>
      </w:pPr>
    </w:p>
    <w:p w:rsidR="00137084" w:rsidRDefault="00416D67">
      <w:pPr>
        <w:spacing w:line="240" w:lineRule="auto"/>
        <w:jc w:val="both"/>
      </w:pPr>
      <w:r>
        <w:t xml:space="preserve">U izvještajnom su se razdoblju obveze uredno podmirivale, u </w:t>
      </w:r>
      <w:r>
        <w:t>pravilu u rokovima dospijeća. Tako je tijekom prvih šest mjeseci podmireno 903.740,72 € obveza za zaposlene, 146.534,48 € za materijalne rashode, 193,19 € za financijske rashode, 7.196,30€  obveze za naknade građanima i kućanstvima, obveze za donacije 657,</w:t>
      </w:r>
      <w:r>
        <w:t>00 €.</w:t>
      </w:r>
    </w:p>
    <w:p w:rsidR="00137084" w:rsidRDefault="00137084"/>
    <w:p w:rsidR="00137084" w:rsidRDefault="00416D67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1370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13708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10.011,68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137084" w:rsidRDefault="00137084">
      <w:pPr>
        <w:spacing w:after="0"/>
      </w:pPr>
    </w:p>
    <w:p w:rsidR="00137084" w:rsidRDefault="00416D67">
      <w:pPr>
        <w:spacing w:line="240" w:lineRule="auto"/>
        <w:jc w:val="both"/>
      </w:pPr>
      <w:r>
        <w:t xml:space="preserve">Stanje dospjelih obveza na kraju izvještajnog razdoblja se </w:t>
      </w:r>
      <w:r>
        <w:t>odnosi na obveze za materijalne rashode te na obveze prema MZO-u za bolovanja na teret HZZO-a.</w:t>
      </w:r>
    </w:p>
    <w:p w:rsidR="00137084" w:rsidRDefault="00137084"/>
    <w:p w:rsidR="00137084" w:rsidRDefault="00416D67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1370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Obveze za predujmove, depozite, </w:t>
            </w:r>
            <w:proofErr w:type="spellStart"/>
            <w:r>
              <w:rPr>
                <w:sz w:val="18"/>
              </w:rPr>
              <w:t>jamčevne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pologe</w:t>
            </w:r>
            <w:proofErr w:type="spellEnd"/>
            <w:r>
              <w:rPr>
                <w:sz w:val="18"/>
              </w:rPr>
              <w:t xml:space="preserve">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5.424,79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137084" w:rsidRDefault="00137084">
      <w:pPr>
        <w:spacing w:after="0"/>
      </w:pPr>
    </w:p>
    <w:p w:rsidR="00137084" w:rsidRDefault="00416D67">
      <w:pPr>
        <w:spacing w:line="240" w:lineRule="auto"/>
        <w:jc w:val="both"/>
      </w:pPr>
      <w:r>
        <w:t xml:space="preserve">obveze </w:t>
      </w:r>
      <w:r>
        <w:t>se odnose na bolovanja na teret HZZO-a koja će biti refundirana.</w:t>
      </w:r>
    </w:p>
    <w:p w:rsidR="00137084" w:rsidRDefault="00137084"/>
    <w:p w:rsidR="00137084" w:rsidRDefault="00416D67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1370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13708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183.715,47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137084" w:rsidRDefault="00137084">
      <w:pPr>
        <w:spacing w:after="0"/>
      </w:pPr>
    </w:p>
    <w:p w:rsidR="00137084" w:rsidRDefault="00416D67">
      <w:pPr>
        <w:spacing w:line="240" w:lineRule="auto"/>
        <w:jc w:val="both"/>
      </w:pPr>
      <w:r>
        <w:t xml:space="preserve">Obveze na kraju izvještajnog razdoblja iznose 183.715,47 €  i odnose se na obveze za plaće koje će biti isplaćene u srpnju 2025., na obveze za povrat sredstva u Državnu riznicu temeljem naknade plaće za BO na teret HZZO-a za koje su predani </w:t>
      </w:r>
      <w:r>
        <w:t>Zahtjevi za refundaciju,  te na račune koji dospijevaju iza 1.7.2025. godine.</w:t>
      </w:r>
    </w:p>
    <w:p w:rsidR="00137084" w:rsidRDefault="00137084"/>
    <w:p w:rsidR="00137084" w:rsidRDefault="00416D67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1370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370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Obveze za predujmove, depozite, </w:t>
            </w:r>
            <w:proofErr w:type="spellStart"/>
            <w:r>
              <w:rPr>
                <w:sz w:val="18"/>
              </w:rPr>
              <w:t>jamčevne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pologe</w:t>
            </w:r>
            <w:proofErr w:type="spellEnd"/>
            <w:r>
              <w:rPr>
                <w:sz w:val="18"/>
              </w:rPr>
              <w:t xml:space="preserve">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32.566,75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37084" w:rsidRDefault="00416D6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137084" w:rsidRDefault="00137084">
      <w:pPr>
        <w:spacing w:after="0"/>
      </w:pPr>
    </w:p>
    <w:p w:rsidR="00137084" w:rsidRDefault="00416D67">
      <w:pPr>
        <w:spacing w:line="240" w:lineRule="auto"/>
        <w:jc w:val="both"/>
      </w:pPr>
      <w:r>
        <w:t xml:space="preserve">Obveze se odnose na </w:t>
      </w:r>
      <w:r>
        <w:t xml:space="preserve">projekt </w:t>
      </w:r>
      <w:proofErr w:type="spellStart"/>
      <w:r>
        <w:t>RInkluzija</w:t>
      </w:r>
      <w:proofErr w:type="spellEnd"/>
      <w:r>
        <w:t xml:space="preserve"> za zapošljavanje pomoćnika u nastavi.</w:t>
      </w:r>
    </w:p>
    <w:p w:rsidR="00137084" w:rsidRDefault="00137084"/>
    <w:sectPr w:rsidR="00137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84"/>
    <w:rsid w:val="00137084"/>
    <w:rsid w:val="0041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26B29-1084-4067-9E21-C77098F9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alidadevi@gmail.com</cp:lastModifiedBy>
  <cp:revision>2</cp:revision>
  <dcterms:created xsi:type="dcterms:W3CDTF">2025-07-14T20:30:00Z</dcterms:created>
  <dcterms:modified xsi:type="dcterms:W3CDTF">2025-07-14T20:30:00Z</dcterms:modified>
</cp:coreProperties>
</file>